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</w:pBdr>
        <w:spacing w:before="1400" w:after="360"/>
        <w:jc w:val="left"/>
      </w:pPr>
      <w:r>
        <w:rPr>
          <w:rFonts w:ascii="Heiti SC" w:hAnsi="Heiti SC" w:eastAsia="Heiti SC"/>
          <w:b/>
          <w:color w:val="000000"/>
          <w:sz w:val="54"/>
        </w:rPr>
        <w:t>移动端任务与账户平台需求文档</w:t>
      </w:r>
    </w:p>
    <w:p>
      <w:pPr>
        <w:spacing w:after="600"/>
      </w:pPr>
      <w:r>
        <w:rPr>
          <w:rFonts w:ascii="Heiti SC" w:hAnsi="Heiti SC" w:eastAsia="Heiti SC"/>
          <w:b/>
          <w:color w:val="000000"/>
          <w:sz w:val="32"/>
        </w:rPr>
        <w:t>参考站点功能拆解与重构建议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目标：在不复制品牌素材、敏感数据与高风险业务表述的前提下，复刻参考站点的信息架构和交互骨架，并形成可开发、可验收、可审计的产品需求基线。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主要读者：产品负责人、交互设计师、前端开发、后端开发、测试、风控与运营。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观察日期：2026-10-07    参考环境：移动端网页    文档版本：V1.0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结论：参考站点由账户、任务订单、余额台账、储入取出、会员等级、内容展示和在线客服七个域构成。建议复刻页面结构与业务闭环，但重写资金、隐私、安全和合规机制。</w:t>
      </w:r>
    </w:p>
    <w:p>
      <w:r>
        <w:br w:type="page"/>
      </w:r>
    </w:p>
    <w:p>
      <w:pPr>
        <w:pStyle w:val="Heading1"/>
        <w:spacing w:before="200" w:after="120"/>
      </w:pPr>
      <w:r>
        <w:t>1 文档范围与方法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本需求基于登录后的页面逐项浏览、按钮与导航行为检查、页面状态观察，以及浏览器中可见网络请求和前端资源分析。本文把结论分为三类：实测行为、前端可见实现、建议需求。敏感手机号、邀请码、银行卡等信息已脱敏，不作为原型内容。</w:t>
      </w:r>
    </w:p>
    <w:p>
      <w:pPr>
        <w:pStyle w:val="Heading2"/>
        <w:spacing w:before="140" w:after="120"/>
      </w:pPr>
      <w:r>
        <w:t>1.1 已覆盖范围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登录页现状、注册页字段、会话与路由保护。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首页、荣誉榜、会员等级、平台简介、规则说明、代理合作、公司资质。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订单记录筛选、领取中心、订单资金变化、手工商城。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储入、取出、收款信息绑定、储入记录、取出记录、账户明细。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个人信息、头像上传、登录密码、交易密码、通知记录、在线客服。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可观察接口、响应结构、关键数据字段与前端安全实现。</w:t>
      </w:r>
    </w:p>
    <w:p>
      <w:pPr>
        <w:pStyle w:val="Heading2"/>
        <w:spacing w:before="140" w:after="120"/>
      </w:pPr>
      <w:r>
        <w:t>1.2 未执行操作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为避免生成真实订单、变更资金、上传个人文件、修改密码或退出当前会话，本文未点击自动领取、订单提交、储入提交、取出确认、收款信息提交、头像上传、密码提交和退出登录。对应需求由页面字段、前端接口定义与上下游数据状态推导，并标记为待联调确认。</w:t>
      </w:r>
    </w:p>
    <w:p>
      <w:pPr>
        <w:pStyle w:val="Heading1"/>
        <w:spacing w:before="200" w:after="120"/>
      </w:pPr>
      <w:r>
        <w:t>2 产品定位与角色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产品可定位为移动端会员任务与佣金账户平台。用户通过注册、储入余额、领取任务订单、完成任务、获得本金返还与佣金，并可查看台账或发起取出。平台通过等级、任务数量和费率管理用户权益，通过客服处理储入、异常订单和账户问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15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角色</w:t>
            </w:r>
          </w:p>
        </w:tc>
        <w:tc>
          <w:tcPr>
            <w:tcW w:type="dxa" w:w="30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主要目标</w:t>
            </w:r>
          </w:p>
        </w:tc>
        <w:tc>
          <w:tcPr>
            <w:tcW w:type="dxa" w:w="50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关键权限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游客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了解平台并注册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登录、注册、查看隐私政策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会员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领取任务并查看收益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首页、任务、订单、余额、客服、个人设置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高级会员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按等级获得更多任务和更高费率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等级权益、额度与次数受配置控制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客服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处理储入、取出、异常任务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会话、工单、用户与交易查询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运营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管理内容、等级、任务和公告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配置、发布、审核、数据看板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财务与风控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审核资金和异常行为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充值审核、提现审核、台账、风控规则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管理员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维护权限与系统参数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RBAC、审计日志、系统配置</w:t>
            </w:r>
          </w:p>
        </w:tc>
      </w:tr>
    </w:tbl>
    <w:p/>
    <w:p>
      <w:pPr>
        <w:pStyle w:val="Heading1"/>
        <w:spacing w:before="200" w:after="120"/>
      </w:pPr>
      <w:r>
        <w:t>3 信息架构与页面路由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0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一级模块</w:t>
            </w:r>
          </w:p>
        </w:tc>
        <w:tc>
          <w:tcPr>
            <w:tcW w:type="dxa" w:w="208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页面或路由</w:t>
            </w:r>
          </w:p>
        </w:tc>
        <w:tc>
          <w:tcPr>
            <w:tcW w:type="dxa" w:w="446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核心内容</w:t>
            </w:r>
          </w:p>
        </w:tc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入口</w:t>
            </w:r>
          </w:p>
        </w:tc>
      </w:tr>
      <w:t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认证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/login  /register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手机号登录、账户名、推荐码、验证码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未登录访问</w:t>
            </w:r>
          </w:p>
        </w:tc>
      </w:tr>
      <w:t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首页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/home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活动图、快捷入口、余额、荣誉榜、会员等级、公司介绍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底部首页</w:t>
            </w:r>
          </w:p>
        </w:tc>
      </w:tr>
      <w:t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任务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/receive  /orderDetail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领取、等待、任务详情、提交完成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底部领取</w:t>
            </w:r>
          </w:p>
        </w:tc>
      </w:tr>
      <w:t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记录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记录页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全部、待处理、已完成订单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底部记录</w:t>
            </w:r>
          </w:p>
        </w:tc>
      </w:tr>
      <w:t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手工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/mall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手工任务卡片并引导客服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首页快捷入口</w:t>
            </w:r>
          </w:p>
        </w:tc>
      </w:tr>
      <w:t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资金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/recharge  /withdrawal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储入、取出、余额、交易密码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首页与个人中心</w:t>
            </w:r>
          </w:p>
        </w:tc>
      </w:tr>
      <w:t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账户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/mine  /personalInfo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用户资料、信用分、邀请码、设置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底部我的</w:t>
            </w:r>
          </w:p>
        </w:tc>
      </w:tr>
      <w:t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明细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/depositRecord  /withdrawalRecord  /bill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储入、取出、余额台账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我的</w:t>
            </w:r>
          </w:p>
        </w:tc>
      </w:tr>
      <w:t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客服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/customerService  /iframeCustom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客服列表与第三方会话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底部客服</w:t>
            </w:r>
          </w:p>
        </w:tc>
      </w:tr>
      <w:t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内容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/html/{id}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平台简介、规则、代理、资质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首页公司简介</w:t>
            </w:r>
          </w:p>
        </w:tc>
      </w:tr>
    </w:tbl>
    <w:p/>
    <w:p>
      <w:pPr>
        <w:pStyle w:val="Heading2"/>
        <w:spacing w:before="140" w:after="120"/>
      </w:pPr>
      <w:r>
        <w:t>3.1 建议导航原则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底部五栏固定为首页、记录、领取、客服、我的；详情页隐藏底部栏并保留明确返回。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资金页面必须显示币种、可用余额、冻结余额、预计到账和手续费，不使用含义不明的“人民币编码”。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所有金额变动都能跳转至同一业务单据，并在台账中保持可解释、可追溯。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客服 iframe 需明确第三方来源、隐私边界和会话状态，失败时提供备用联系方式。</w:t>
      </w:r>
    </w:p>
    <w:p>
      <w:pPr>
        <w:pStyle w:val="Heading1"/>
        <w:spacing w:before="200" w:after="120"/>
      </w:pPr>
      <w:r>
        <w:t>4 核心业务闭环</w:t>
      </w:r>
    </w:p>
    <w:p>
      <w:pPr>
        <w:pStyle w:val="Heading2"/>
        <w:spacing w:before="140" w:after="120"/>
      </w:pPr>
      <w:r>
        <w:t>4.1 任务订单闭环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用户进入领取中心，系统校验登录态、营业时间、会员等级、最低可用余额、未完成任务与风控状态。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用户点击领取后，系统创建或匹配一笔任务订单，返回任务编号、商品、金额、佣金、截止时间与状态。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任务确认时，台账先记录交易扣款；完成后记录本金返还和佣金入账。参考数据中同一业务单号出现 -298、+298、+14.9 三条流水。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订单必须支持待领取、匹配中、待处理、处理中、已完成、超时、冻结、取消与失败，并记录每次状态变化。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任何补差额、冻结或信用分变化都必须有明确原因、复核入口和申诉渠道；不得依赖口头客服指令。</w:t>
      </w:r>
    </w:p>
    <w:p>
      <w:pPr>
        <w:pStyle w:val="Heading2"/>
        <w:spacing w:before="140" w:after="120"/>
      </w:pPr>
      <w:r>
        <w:t>4.2 储入与取出闭环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储入页面按等级展示金额、赠送额、每日单数和佣金比例，用户填写金额与姓名后提交。参考站点还要求联系客服获取收款方式。新系统应改为平台内生成可核验的支付订单，禁止客服通过聊天发送临时个人账户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取出前需绑定姓名、银行名、银行账户与收款码，随后输入金额和交易密码。新系统应只保留与实际支付通道必要的字段，敏感数据加密存储，收款码上传须做病毒扫描、内容校验与访问控制。</w:t>
      </w:r>
    </w:p>
    <w:p>
      <w:pPr>
        <w:pStyle w:val="Heading2"/>
        <w:spacing w:before="140" w:after="120"/>
      </w:pPr>
      <w:r>
        <w:t>4.3 会员与代理闭环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参考站点设置普通、白银、黄金、铂金、钻石、星耀、至尊七档，充值门槛、赠送额、每日单数和佣金比例逐级上升，并存在三级推荐奖励。建议将等级规则做成版本化配置，禁止前端写死；代理奖励必须在合规评估通过后再启用。</w:t>
      </w:r>
    </w:p>
    <w:p>
      <w:r>
        <w:br w:type="page"/>
      </w:r>
    </w:p>
    <w:p>
      <w:pPr>
        <w:pStyle w:val="Heading1"/>
        <w:spacing w:before="200" w:after="120"/>
      </w:pPr>
      <w:r>
        <w:t>5 页面级功能需求</w:t>
      </w:r>
    </w:p>
    <w:p>
      <w:pPr>
        <w:pStyle w:val="Heading2"/>
        <w:spacing w:before="140" w:after="120"/>
      </w:pPr>
      <w:r>
        <w:t>5.1 登录与注册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93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30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字段与控件</w:t>
            </w:r>
          </w:p>
        </w:tc>
        <w:tc>
          <w:tcPr>
            <w:tcW w:type="dxa" w:w="338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校验与行为</w:t>
            </w:r>
          </w:p>
        </w:tc>
        <w:tc>
          <w:tcPr>
            <w:tcW w:type="dxa" w:w="223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验收要点</w:t>
            </w:r>
          </w:p>
        </w:tc>
      </w:tr>
      <w:tr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登录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手机号、密码、记住密码、登录、去注册、隐私政策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手机号格式；密码非空；错误次数限制；登录成功进入首页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不在本地明文保存密码；支持会话过期提示</w:t>
            </w:r>
          </w:p>
        </w:tc>
      </w:tr>
      <w:tr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注册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账户名、11 位手机号、密码、推荐码、图片验证码、隐私政策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账户名必填；手机号唯一；验证码校验；推荐码可选或按运营配置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提交前明确同意协议；防批量注册；注册成功自动登录或返回登录</w:t>
            </w:r>
          </w:p>
        </w:tc>
      </w:tr>
      <w:tr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会话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Authorization 令牌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401 清除会话并返回登录；403 显示可解释错误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支持刷新、撤销、设备管理与退出所有设备</w:t>
            </w:r>
          </w:p>
        </w:tc>
      </w:tr>
    </w:tbl>
    <w:p/>
    <w:p>
      <w:pPr>
        <w:pStyle w:val="Heading2"/>
        <w:spacing w:before="140" w:after="120"/>
      </w:pPr>
      <w:r>
        <w:t>5.2 首页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展示轮播图或单图运营位，支持后台排序、上下线、跳转类型和有效期。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快捷入口为领取、储入、取出、手工；按后台开关显示，关闭时给出原因而不是静默失效。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账户卡展示昵称、可用余额与币种；点击可进入账户明细。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荣誉榜为脱敏昵称、积分和结果状态，要求数据真实性标识、刷新频率与隐私策略。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会员等级展示当前等级、费率和下一等级条件；等级图不得只是一张不可访问的图片。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公司简介包括平台简介、规则说明、代理合作和公司资质，内容由 CMS 管理并保留版本。</w:t>
      </w:r>
    </w:p>
    <w:p>
      <w:pPr>
        <w:pStyle w:val="Heading2"/>
        <w:spacing w:before="140" w:after="120"/>
      </w:pPr>
      <w:r>
        <w:t>5.3 记录与订单详情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记录页显示可用资产，提供全部、待处理、已完成三种筛选。列表项包括创建时间、商品图、商品名、商品价格、佣金与状态。分页默认 10 条，支持下拉刷新、空状态、加载失败重试和详情跳转。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实测发现先切换待处理、再切换已完成时曾短暂出现空列表，而重新加载全部后可见已完成记录。验收时需覆盖筛选参数、缓存状态和并发请求覆盖问题。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15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状态</w:t>
            </w:r>
          </w:p>
        </w:tc>
        <w:tc>
          <w:tcPr>
            <w:tcW w:type="dxa" w:w="30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用户可见文案</w:t>
            </w:r>
          </w:p>
        </w:tc>
        <w:tc>
          <w:tcPr>
            <w:tcW w:type="dxa" w:w="201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允许操作</w:t>
            </w:r>
          </w:p>
        </w:tc>
        <w:tc>
          <w:tcPr>
            <w:tcW w:type="dxa" w:w="338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系统约束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匹配中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正在匹配任务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取消等待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只允许一个匹配请求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待处理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请在截止时间前完成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查看详情、提交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倒计时与服务端时间一致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处理中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已提交，等待确认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查看详情、联系客服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防重复提交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已完成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本金与佣金已入账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查看流水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三笔或组合流水必须可核对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超时或冻结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显示原因与处理路径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申诉、联系客服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需要人工复核和审计</w:t>
            </w:r>
          </w:p>
        </w:tc>
      </w:tr>
      <w:t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失败或取消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显示失败原因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重新领取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不得产生不一致余额</w:t>
            </w:r>
          </w:p>
        </w:tc>
      </w:tr>
    </w:tbl>
    <w:p/>
    <w:p>
      <w:pPr>
        <w:pStyle w:val="Heading2"/>
        <w:spacing w:before="140" w:after="120"/>
      </w:pPr>
      <w:r>
        <w:t>5.4 领取中心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领取中心包含会员等级、佣金费率、主领取按钮、匹配进度、今日战果和规则说明。点击主按钮前需完成资格预检；按钮点击后立即进入不可重复提交的 loading 状态；匹配成功跳转订单详情，失败显示可恢复原因。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预检项：营业时间、账户状态、信用或风控状态、最低余额、当日次数、未完成订单、等级商品范围。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统计项：总资产、昨日佣金、今日佣金、今日领取数；所有统计口径需要后台统一定义。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规则文案需要 CMS 管理，禁止把风控与资金规则硬编码在页面。</w:t>
      </w:r>
    </w:p>
    <w:p>
      <w:pPr>
        <w:pStyle w:val="Heading2"/>
        <w:spacing w:before="140" w:after="120"/>
      </w:pPr>
      <w:r>
        <w:t>5.5 手工商城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页面以双列卡片展示图片、任务名称、份数、工资与已领取数；点击卡片实测直接进入客服页。建议增加任务详情、适用人群、交付方式、预计周期、库存、审核标准和风险提示，再由用户主动发起咨询。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参考站点一条商品名称中可见脚本标签文本，说明内容过滤不足。新系统必须对运营内容做 HTML 转义、富文本白名单、图片域名白名单和持久型 XSS 检测。</w:t>
      </w:r>
    </w:p>
    <w:p>
      <w:pPr>
        <w:pStyle w:val="Heading2"/>
        <w:spacing w:before="140" w:after="120"/>
      </w:pPr>
      <w:r>
        <w:t>5.6 客服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客服页展示多个客服入口与工作时间，点击后在站内 iframe 打开第三方聊天。聊天页含历史会话、系统消息、文本框、图片与视频上传。需求上应增加服务状态、排队人数、会话编号、隐私声明、附件大小与类型限制、敏感信息提醒和会话评价。</w:t>
      </w:r>
    </w:p>
    <w:p>
      <w:r>
        <w:br w:type="page"/>
      </w:r>
    </w:p>
    <w:p>
      <w:pPr>
        <w:pStyle w:val="Heading2"/>
        <w:spacing w:before="140" w:after="120"/>
      </w:pPr>
      <w:r>
        <w:t>5.7 我的与个人信息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功能</w:t>
            </w:r>
          </w:p>
        </w:tc>
        <w:tc>
          <w:tcPr>
            <w:tcW w:type="dxa" w:w="446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需求</w:t>
            </w:r>
          </w:p>
        </w:tc>
        <w:tc>
          <w:tcPr>
            <w:tcW w:type="dxa" w:w="352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边界或风险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资料概览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头像、昵称、邀请码、会员等级、信用状态、余额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手机号等敏感字段默认脱敏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储入与取出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提供余额入口与状态提示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资金操作必须二次确认与风控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收款信息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姓名、银行、账户、可选支付通道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加密、最小化收集、修改留痕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头像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上传、裁剪、预览、替换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文件扫描、大小和格式校验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密码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旧密码、新密码、确认密码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强度、频控、成功后令牌失效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交易密码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独立于登录密码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不得用无盐 MD5；失败次数锁定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通知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公告列表、未读、已读、详情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重要规则变更需留存阅读证据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退出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清除令牌和本地用户数据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保留确认，避免误触</w:t>
            </w:r>
          </w:p>
        </w:tc>
      </w:tr>
    </w:tbl>
    <w:p/>
    <w:p>
      <w:pPr>
        <w:pStyle w:val="Heading2"/>
        <w:spacing w:before="140" w:after="120"/>
      </w:pPr>
      <w:r>
        <w:t>5.8 储入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页面展示等级规则表和金额、姓名输入框。参考规则为普通 500、白银 1888、黄金 10000、铂金 30000、钻石 50000、星耀 88888、至尊 188888；费率从 1.8% 到 5%。规则说明和表格存在个别口径差异，必须以后台版本化配置为唯一事实源。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提交前展示收款主体、订单号、有效期、金额、手续费和风险提示。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储入订单状态：待支付、待审核、成功、失败、过期、取消；失败必须提供原因。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若需要上传付款凭证，必须经过用户明确选择，并限制为图片或 PDF。</w:t>
      </w:r>
    </w:p>
    <w:p>
      <w:pPr>
        <w:pStyle w:val="Heading2"/>
        <w:spacing w:before="140" w:after="120"/>
      </w:pPr>
      <w:r>
        <w:t>5.9 取出与收款绑定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取出页面展示余额、金额、已绑定收款信息摘要和交易密码。若未绑定，弹窗提示并引导至绑定页。绑定页实测字段为姓名、银行名、银行账户、人民币编码、支付宝收款码和微信收款码。建议删除含义不清或非必要字段，并根据支付渠道动态展示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金额校验：大于 0、不超过可用余额、符合单笔最小值和最大值，并显示手续费与到账金额。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状态：待审核、审核中、处理中、成功、失败、驳回、取消；用户可查看原因和预计时间。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交易密码只在提交时使用；服务端采用强哈希校验并配合频率限制、设备风控和二次验证。</w:t>
      </w:r>
    </w:p>
    <w:p>
      <w:r>
        <w:br w:type="page"/>
      </w:r>
    </w:p>
    <w:p>
      <w:pPr>
        <w:pStyle w:val="Heading2"/>
        <w:spacing w:before="140" w:after="120"/>
      </w:pPr>
      <w:r>
        <w:t>⁠5.10 账户明细与记录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账户明细需按业务单号聚合展示变动类型、变动金额、变动前余额、变动后余额、时间、状态和关联单据。储入记录显示订单号、状态、金额、创建时间；取出记录字段同构，并增加手续费、到账金额与失败原因。</w:t>
      </w:r>
    </w:p>
    <w:p>
      <w:pPr>
        <w:pStyle w:val="Heading1"/>
        <w:spacing w:before="200" w:after="120"/>
      </w:pPr>
      <w:r>
        <w:t>6 数据模型与状态机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51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实体</w:t>
            </w:r>
          </w:p>
        </w:tc>
        <w:tc>
          <w:tcPr>
            <w:tcW w:type="dxa" w:w="511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关键字段</w:t>
            </w:r>
          </w:p>
        </w:tc>
        <w:tc>
          <w:tcPr>
            <w:tcW w:type="dxa" w:w="28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说明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User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id, username, mobile, avatar, status, inviteCode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用户主档，手机号单独加密与索引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Membership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levelId, rate, dailyLimit, withdrawLimits, effectiveAt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版本化等级权益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Wallet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available, frozen, currency, version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使用乐观锁或账户序列保证一致性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LedgerEntry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bizNo, type, direction, amount, before, after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不可变台账，支持幂等与冲正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TaskOrder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orderNo, productId, amount, commission, status, deadline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任务生命周期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DepositOrder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depositNo, amount, channel, status, proofUrl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储入生命周期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WithdrawalOrder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withdrawNo, amount, fee, netAmount, status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取出生命周期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PayoutProfile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realName, bankName, maskedAccount, qrAssetIds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敏感字段加密与脱敏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Content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type, title, body, version, status, publishedAt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公告、规则与公司资料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SupportSession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sessionNo, provider, status, openedAt, closedAt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第三方客服映射</w:t>
            </w:r>
          </w:p>
        </w:tc>
      </w:tr>
      <w:t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AuditLog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actor, action, target, before, after, ip, device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资金与权限操作强制留痕</w:t>
            </w:r>
          </w:p>
        </w:tc>
      </w:tr>
    </w:tbl>
    <w:p/>
    <w:p>
      <w:pPr>
        <w:pStyle w:val="Heading2"/>
        <w:spacing w:before="140" w:after="120"/>
      </w:pPr>
      <w:r>
        <w:t>6.1 幂等与一致性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领取、提交订单、储入回调、取出申请和密码修改都必须使用幂等键。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钱包余额只能由服务端台账事务修改；前端显示值不参与结算。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订单状态转换由服务端状态机控制，不允许客户端任意设置。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重复回调、网络重试和并发点击不得重复扣款、返款或发佣金。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所有涉及金额的接口返回业务单号和最新余额版本。</w:t>
      </w:r>
    </w:p>
    <w:p>
      <w:pPr>
        <w:pStyle w:val="Heading1"/>
        <w:spacing w:before="200" w:after="120"/>
      </w:pPr>
      <w:r>
        <w:t>7 接口需求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下表分为实测请求与前端资源中可见接口。实测接口在浏览器中返回 HTTP 200，响应外层为 Base64 字符串，解码后为 JSON，统一包含 success、code、data、msg。建议新系统直接使用标准 JSON，不把 Base64 当作安全措施。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</w:trPr>
        <w:tc>
          <w:tcPr>
            <w:tcW w:type="dxa" w:w="79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方法</w:t>
            </w:r>
          </w:p>
        </w:tc>
        <w:tc>
          <w:tcPr>
            <w:tcW w:type="dxa" w:w="237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接口</w:t>
            </w:r>
          </w:p>
        </w:tc>
        <w:tc>
          <w:tcPr>
            <w:tcW w:type="dxa" w:w="180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用途</w:t>
            </w:r>
          </w:p>
        </w:tc>
        <w:tc>
          <w:tcPr>
            <w:tcW w:type="dxa" w:w="352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主要请求或返回字段</w:t>
            </w:r>
          </w:p>
        </w:tc>
        <w:tc>
          <w:tcPr>
            <w:tcW w:type="dxa" w:w="12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证据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/wap-api/doLogin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登录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username, password；token, users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前端实现与已发生请求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/wap-api/doRegister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注册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nickName, username, password, inviteCode, code, uuid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/wap-api/captchaImage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图片验证码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uuid, img, captchaBol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/wap-api/profile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用户概要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tel, username, headpic, inviteCode, level, levelRate, balance, xyf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/wap-api/banner/list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首页横幅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图片地址数组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/wap-api/home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首页开关与内容编号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SHOP_STATUS, TASK, POP_MESSAGE, 内容 ID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/wap-api/user/data/home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荣誉榜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name, avatar, balance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/wap-api/ctrl/level-list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等级配置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name, orderNum, num, giveNum, bili, 提现限制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/wap-api/support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客服列表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qq, url, workTime, 分页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/wap-api/convey/page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订单分页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pageNo, pageSize, status；订单与商品字段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/wap-api/convey/order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领取或匹配订单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无显式参数；返回订单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/wap-api/convey/order/submit/{id}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提交任务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订单 id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/wap-api/convey/count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领取统计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balance, countToday, countNumToday, countNumYesterday, content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/wap-api/convey/unpay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未完成订单检查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djs 等状态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/wap-api/product/page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手工商品分页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分页条件；商品卡片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/wap-api/platform-config/trade-wait-time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任务等待时间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秒数或分钟数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/wap-api/bank/current/info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当前收款信息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收款资料摘要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/wap-api/bank/save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保存收款信息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姓名、银行、账户、收款码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/wap-api/recharge/recharge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创建储入申请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amount, name 等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/wap-api/recharge/page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储入记录分页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分页与状态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/wap-api/deposit/do_deposit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创建取出申请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amount, paypassword 等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/wap-api/deposit/page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取出记录分页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分页与状态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/wap-api/balance-log/page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账户流水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分页；类型、金额、业务单号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前端实现与页面实测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/wap-api/users/setPwd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修改登录密码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oldPwd, newPwd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/wap-api/users/setPwd2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修改交易密码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oldPwd, newPwd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/wap-api/local/upload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文件上传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multipart file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/wap-api/user-tc/select  /read/{id}  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弹窗通知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公告、已读、分页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实测与前端实现</w:t>
            </w:r>
          </w:p>
        </w:tc>
      </w:tr>
    </w:tbl>
    <w:p/>
    <w:p>
      <w:pPr>
        <w:pStyle w:val="Heading2"/>
        <w:spacing w:before="140" w:after="120"/>
      </w:pPr>
      <w:r>
        <w:t>7.1 新系统接口规范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统一使用 HTTPS、JSON、明确的 HTTP 状态码、traceId、错误码和可本地化 message。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Authorization 使用短期访问令牌与可撤销刷新令牌；敏感操作增加一次性挑战或二次验证。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列表接口统一 page、pageSize、sort、status，返回 items、total、hasNext。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金额使用最小货币单位整数或高精度 Decimal，禁止浮点结算。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上传接口先申请受限上传凭证，服务端扫描后再绑定业务。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所有写接口要求 Idempotency-Key、设备信息与审计上下文。</w:t>
      </w:r>
    </w:p>
    <w:p>
      <w:pPr>
        <w:pStyle w:val="Heading1"/>
        <w:spacing w:before="200" w:after="120"/>
      </w:pPr>
      <w:r>
        <w:t>8 管理后台需求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模块</w:t>
            </w:r>
          </w:p>
        </w:tc>
        <w:tc>
          <w:tcPr>
            <w:tcW w:type="dxa" w:w="525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主要能力</w:t>
            </w:r>
          </w:p>
        </w:tc>
        <w:tc>
          <w:tcPr>
            <w:tcW w:type="dxa" w:w="30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审批与审计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用户管理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查询、状态、等级、信用、设备、邀请关系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冻结与解冻需理由和双人复核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等级配置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门槛、赠送、次数、费率、提现限制、商品范围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版本化发布，可回滚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任务商品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商品、图片、金额、佣金、库存、上下线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内容过滤和审核流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任务订单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状态、倒计时、资金流水、异常处理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人工改状态必须双人审批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储入管理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支付订单、回调、凭证、审核、对账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每日对账与差错处理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取出管理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审核、通道、手续费、失败重试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大额与异常规则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内容管理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横幅、规则、简介、资质、公告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预览、定时、版本与发布人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客服管理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客服入口、工作时间、会话映射、工单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第三方访问最小权限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风控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设备、IP、频次、关联账户、异常金额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命中规则可解释并可申诉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权限审计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RBAC、操作日志、导出日志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关键权限定期复核</w:t>
            </w:r>
          </w:p>
        </w:tc>
      </w:tr>
    </w:tbl>
    <w:p/>
    <w:p>
      <w:pPr>
        <w:pStyle w:val="Heading1"/>
        <w:spacing w:before="200" w:after="120"/>
      </w:pPr>
      <w:r>
        <w:t>9 非功能需求</w:t>
      </w:r>
    </w:p>
    <w:p>
      <w:pPr>
        <w:pStyle w:val="Heading2"/>
        <w:spacing w:before="140" w:after="120"/>
      </w:pPr>
      <w:r>
        <w:t>9.1 安全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密码使用 Argon2id 或 bcrypt 加盐存储。参考站点在浏览器端对密码做 MD5，这不能替代服务端强哈希。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输入与富文本做上下文相关转义；运营内容采用白名单；CSP 禁止任意外部脚本。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银行卡和手机号加密存储，日志与埋点禁止记录完整值；展示统一脱敏。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接口启用 CSRF 或同站策略、速率限制、风控挑战、签名回调和重放保护。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第三方客服 iframe 设置最小 sandbox 权限、allowlist 域名和清晰的数据传输告知。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上传文件限制 MIME、扩展名、体积与像素，执行恶意内容扫描，使用隔离存储和短期访问 URL。</w:t>
      </w:r>
    </w:p>
    <w:p>
      <w:pPr>
        <w:pStyle w:val="Heading2"/>
        <w:spacing w:before="140" w:after="120"/>
      </w:pPr>
      <w:r>
        <w:t>9.2 性能与可用性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首屏 LCP 目标小于 2.5 秒，核心 API P95 小于 800 毫秒，写操作 P95 小于 1.5 秒。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按钮防抖、请求取消、重试与离线提示；长列表分页和图片懒加载。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资金写入接口可用性目标 99.95%，客服与内容接口目标 99.9%。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客户端时间仅用于展示，截止时间与状态以服务端为准。</w:t>
      </w:r>
    </w:p>
    <w:p>
      <w:pPr>
        <w:pStyle w:val="Heading2"/>
        <w:spacing w:before="140" w:after="120"/>
      </w:pPr>
      <w:r>
        <w:t>9.3 可访问性与国际化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按钮和导航必须有语义标签与至少 44×44 像素触控区域；颜色不作为唯一状态标识；支持字体放大。简体、繁体和术语需统一，避免同一页面混用“储入/充值”“取出/提现”“领取/抢单”。</w:t>
      </w:r>
    </w:p>
    <w:p>
      <w:pPr>
        <w:pStyle w:val="Heading1"/>
        <w:spacing w:before="200" w:after="120"/>
      </w:pPr>
      <w:r>
        <w:t>10 合规与业务风险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参考站点涉及先储入、任务扣款、返本付佣、推荐奖励、信用分和提现限制。此类模式在不同司法辖区可能触及支付、消费者保护、反洗钱、网络营销或其他监管要求。上线前需由法务和持牌支付机构评估，不应直接复制其资金规则、免责条款或客服收款模式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风险</w:t>
            </w:r>
          </w:p>
        </w:tc>
        <w:tc>
          <w:tcPr>
            <w:tcW w:type="dxa" w:w="28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参考站点表现</w:t>
            </w:r>
          </w:p>
        </w:tc>
        <w:tc>
          <w:tcPr>
            <w:tcW w:type="dxa" w:w="417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新系统要求</w:t>
            </w:r>
          </w:p>
        </w:tc>
        <w:tc>
          <w:tcPr>
            <w:tcW w:type="dxa" w:w="93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优先级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资金真实性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客服提供收款方式，失败责任不清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使用合规支付通道、订单化收款与自动对账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诱导与不透明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高等级对应更高储入和收益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明确费用、风险、无保证收益，禁止误导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推荐奖励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三级佣金 16% 8% 4%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法务审查后决定是否启用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账户冻结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规则含冻结、补差额、信用分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冻结需合法依据、通知、申诉和复核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内容安全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商品名出现脚本标签文本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CMS 白名单与持久型 XSS 防护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密码安全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前端无盐 MD5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服务端强哈希、MFA、频控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隐私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收集银行账户和收款码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最小化、加密、授权、删除与访问审计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数据一致性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筛选短暂空列表、规则口径差异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单一配置源、请求竞态处理、自动化测试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P1</w:t>
            </w:r>
          </w:p>
        </w:tc>
      </w:tr>
    </w:tbl>
    <w:p/>
    <w:p>
      <w:pPr>
        <w:pStyle w:val="Heading1"/>
        <w:spacing w:before="200" w:after="120"/>
      </w:pPr>
      <w:r>
        <w:t>11 埋点与运营指标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94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事件</w:t>
            </w:r>
          </w:p>
        </w:tc>
        <w:tc>
          <w:tcPr>
            <w:tcW w:type="dxa" w:w="316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触发时机</w:t>
            </w:r>
          </w:p>
        </w:tc>
        <w:tc>
          <w:tcPr>
            <w:tcW w:type="dxa" w:w="432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关键属性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auth_login_result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登录成功或失败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result, errorCode, deviceRisk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home_shortcut_click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点击首页快捷入口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target, userLevel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order_claim_click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点击领取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eligibilityResult, balanceBucket, level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order_state_change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订单状态变化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orderNo, from, to, reason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deposit_submit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提交储入申请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amountBucket, channel, result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withdraw_submit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提交取出申请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amountBucket, fee, result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support_open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打开客服会话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provider, entry, workStatus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content_view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查看规则或公告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contentId, version, readDuration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security_challenge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触发安全验证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scene, result, ruleId</w:t>
            </w:r>
          </w:p>
        </w:tc>
      </w:tr>
    </w:tbl>
    <w:p/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核心指标包括注册转化、首个任务完成率、领取成功率、订单超时率、储入成功率、取出成功率与处理时长、客服转人工率、异常账户率、账务差错率和投诉率。涉及金额与身份的数据只做区间化或匿名化统计。</w:t>
      </w:r>
    </w:p>
    <w:p>
      <w:pPr>
        <w:pStyle w:val="Heading1"/>
        <w:spacing w:before="200" w:after="120"/>
      </w:pPr>
      <w:r>
        <w:t>12 验收标准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1. 未登录用户只能访问登录、注册和公开协议；受保护路由统一拦截。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2. 同一用户重复点击领取或提交订单，不产生重复业务单和重复资金流水。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3. 订单完成后，订单状态、钱包余额、三类流水和统计数据在一次事务或可验证最终一致性中完成。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4. 储入与取出所有状态均可在记录页查询，失败和驳回有明确原因。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5. 等级规则由后台发布后前台一致生效，表格、领取校验与提现限制不存在口径差异。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6. 手机号、银行卡、邀请码和交易密码不出现在客户端日志、服务端普通日志或分析平台。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7. 富文本、商品名、公告和客服消息中的脚本或危险 HTML 不能执行。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8. 接口 401、403、429、5xx、超时和断网场景均有清晰恢复路径。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9. 移动端 320 至 430 像素宽度可用，底部导航不遮挡内容，键盘弹出时表单按钮可达。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10. 关键资金和权限操作在后台可按用户、业务单号和时间完整审计。</w:t>
      </w:r>
    </w:p>
    <w:p>
      <w:pPr>
        <w:pStyle w:val="Heading1"/>
        <w:spacing w:before="200" w:after="120"/>
      </w:pPr>
      <w:r>
        <w:t>13 交付优先级与里程碑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58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阶段</w:t>
            </w:r>
          </w:p>
        </w:tc>
        <w:tc>
          <w:tcPr>
            <w:tcW w:type="dxa" w:w="511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范围</w:t>
            </w:r>
          </w:p>
        </w:tc>
        <w:tc>
          <w:tcPr>
            <w:tcW w:type="dxa" w:w="28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退出条件</w:t>
            </w:r>
          </w:p>
        </w:tc>
      </w:tr>
      <w:t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MVP 认证与账户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登录注册、资料、钱包、台账、内容、客服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权限、安全、审计基线通过</w:t>
            </w:r>
          </w:p>
        </w:tc>
      </w:tr>
      <w:t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MVP 任务闭环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任务列表、领取、详情、提交、状态机、佣金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幂等和账务一致性测试通过</w:t>
            </w:r>
          </w:p>
        </w:tc>
      </w:tr>
      <w:t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资金闭环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储入、取出、收款绑定、支付通道、对账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支付与法务合规评审通过</w:t>
            </w:r>
          </w:p>
        </w:tc>
      </w:tr>
      <w:t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运营能力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等级、公告、横幅、商品、通知、后台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配置版本和发布审核可用</w:t>
            </w:r>
          </w:p>
        </w:tc>
      </w:tr>
      <w:t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增长与优化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邀请关系、数据看板、体验优化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合规批准且核心指标稳定</w:t>
            </w:r>
          </w:p>
        </w:tc>
      </w:tr>
    </w:tbl>
    <w:p/>
    <w:p>
      <w:r>
        <w:br w:type="page"/>
      </w:r>
    </w:p>
    <w:p>
      <w:pPr>
        <w:pStyle w:val="Heading1"/>
        <w:spacing w:before="200" w:after="120"/>
      </w:pPr>
      <w:r>
        <w:t>14 低保真原型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以下原型根据实测页面重新绘制，用于确认页面层级、组件位置和交互入口，不复制原站品牌素材、头像或敏感数据。视觉设计阶段应重新建立色彩、字体、图标和组件规范。</w:t>
      </w:r>
    </w:p>
    <w:p>
      <w:pPr>
        <w:pageBreakBefore w:val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46299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29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1  参考站点功能复刻原型</w:t>
      </w:r>
    </w:p>
    <w:p>
      <w:pPr>
        <w:pageBreakBefore/>
        <w:spacing w:before="360"/>
        <w:jc w:val="center"/>
      </w:pPr>
      <w:r>
        <w:drawing>
          <wp:inline xmlns:a="http://schemas.openxmlformats.org/drawingml/2006/main" xmlns:pic="http://schemas.openxmlformats.org/drawingml/2006/picture">
            <wp:extent cx="5669280" cy="462991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29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2  参考站点功能复刻原型</w:t>
      </w:r>
    </w:p>
    <w:p>
      <w:pPr>
        <w:pageBreakBefore/>
        <w:spacing w:before="360"/>
        <w:jc w:val="center"/>
      </w:pPr>
      <w:r>
        <w:drawing>
          <wp:inline xmlns:a="http://schemas.openxmlformats.org/drawingml/2006/main" xmlns:pic="http://schemas.openxmlformats.org/drawingml/2006/picture">
            <wp:extent cx="5669280" cy="462991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29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3  参考站点功能复刻原型</w:t>
      </w:r>
    </w:p>
    <w:p>
      <w:pPr>
        <w:pageBreakBefore/>
        <w:spacing w:before="360"/>
        <w:jc w:val="center"/>
      </w:pPr>
      <w:r>
        <w:drawing>
          <wp:inline xmlns:a="http://schemas.openxmlformats.org/drawingml/2006/main" xmlns:pic="http://schemas.openxmlformats.org/drawingml/2006/picture">
            <wp:extent cx="5669280" cy="46299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29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4  参考站点功能复刻原型</w:t>
      </w:r>
    </w:p>
    <w:p>
      <w:pPr>
        <w:pStyle w:val="Heading1"/>
        <w:pageBreakBefore/>
        <w:spacing w:before="200" w:after="120"/>
      </w:pPr>
      <w:r>
        <w:t>15 待确认事项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目标产品是否真实涉及用户资金储入与取出，还是仅做演示积分。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任务来源、商品真实性、结算主体和佣金承担方。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目标市场与适用法律、支付通道和实名要求。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是否保留会员等级、推荐奖励、信用分和冻结机制。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客服使用自建系统还是第三方服务，允许传输哪些用户数据。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管理后台的组织结构、审批层级和财务对账责任人。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品牌名、语言版本、视觉方向与是否需要 App 壳或 PWA。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在上述事项明确前，可以先完成无资金风险的认证、内容、任务展示、客服、账户明细和后台配置原型；资金接口只做沙箱与模拟数据。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Heiti SC" w:hAnsi="Heiti SC" w:eastAsia="Heiti SC"/>
        <w:color w:val="667085"/>
        <w:sz w:val="17"/>
      </w:rPr>
      <w:t>移动端任务与账户平台需求文档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iti SC" w:hAnsi="Heiti SC" w:eastAsia="Heiti SC"/>
      <w:color w:val="18202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Heiti SC" w:hAnsi="Heiti SC" w:eastAsia="Heiti SC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移动端任务与账户平台需求文档</dc:title>
  <dc:subject>参考站点功能拆解与重构建议</dc:subject>
  <dc:creator>Product Requirement Analysis</dc:creator>
  <cp:keywords>需求文档, 移动端, 任务订单, 账户, 接口, 原型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