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before="1400" w:after="360"/>
        <w:jc w:val="left"/>
      </w:pPr>
      <w:r>
        <w:rPr>
          <w:rFonts w:ascii="Heiti SC" w:hAnsi="Heiti SC" w:eastAsia="Heiti SC"/>
          <w:b/>
          <w:color w:val="000000"/>
          <w:sz w:val="50"/>
        </w:rPr>
        <w:t>移动端任务与账户平台需求文档 V2</w:t>
      </w:r>
    </w:p>
    <w:p>
      <w:pPr>
        <w:spacing w:after="600"/>
      </w:pPr>
      <w:r>
        <w:rPr>
          <w:rFonts w:ascii="Heiti SC" w:hAnsi="Heiti SC" w:eastAsia="Heiti SC"/>
          <w:b w:val="0"/>
          <w:color w:val="18202F"/>
          <w:sz w:val="21"/>
        </w:rPr>
        <w:t>后台反向校验修订版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目标：在不复制品牌素材、敏感数据与高风险业务表述的前提下，复刻参考站点的信息架构和交互骨架，并形成可开发、可验收、可审计的产品需求基线。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主要读者：产品负责人、交互设计师、前端开发、后端开发、测试、风控与运营。</w:t>
      </w:r>
    </w:p>
    <w:p>
      <w:pPr>
        <w:spacing w:after="120" w:line="307" w:lineRule="auto"/>
      </w:pPr>
      <w:r>
        <w:rPr>
          <w:rFonts w:ascii="Heiti SC" w:hAnsi="Heiti SC" w:eastAsia="Heiti SC"/>
          <w:b w:val="0"/>
          <w:color w:val="18202F"/>
          <w:sz w:val="21"/>
        </w:rPr>
        <w:t>观察日期：2026-10-07    参考环境：移动端网页    文档版本：V2.0</w:t>
      </w:r>
    </w:p>
    <w:p>
      <w:pPr>
        <w:spacing w:after="120" w:line="307" w:lineRule="auto"/>
      </w:pPr>
      <w:r>
        <w:rPr>
          <w:rFonts w:ascii="Heiti SC" w:hAnsi="Heiti SC" w:eastAsia="Heiti SC"/>
          <w:b w:val="0"/>
          <w:color w:val="18202F"/>
          <w:sz w:val="21"/>
        </w:rPr>
        <w:t>结论：移动端主链路可以保留，但必须新增人工任务、审核结果、会员受限、配置版本和后台账变反馈。资金、权限、隐私和内容真实性仍按高风险能力重构。</w:t>
      </w:r>
    </w:p>
    <w:p>
      <w:r>
        <w:br w:type="page"/>
      </w:r>
    </w:p>
    <w:p>
      <w:pPr>
        <w:pStyle w:val="Heading1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36"/>
        </w:rPr>
        <w:t>0 后台反向校验结论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后台走查表明，原 V1 已覆盖账户、任务订单、储入取出和客服等主链路，但对后台可配置项、人工审核、任务大厅、会员限制和运营动作的用户端反馈描述不足。V2 将后台视为业务规则的管理端，并补齐移动端必须展示的状态、原因、时效和恢复路径。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cantSplit/>
          <w:tblHeader w:val="true"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校验主题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后台证据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V1 缺口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V2 调整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任务模型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商品订单、任务大厅、任务列表、会员任务审核并存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容易把所有任务理解为自动领取订单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拆分自动订单与人工任务两条链路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资金审核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充值与提现支持人工通过或驳回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状态虽有定义，但用户通知与补件不够明确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增加审核进度、驳回原因、补件和到账凭证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会员治理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后台可改等级、禁用、账变和奖励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移动端缺少被限制后的统一反馈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增加受限状态页、原因、期限、申诉和台账说明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运营配置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营业时间、金额门槛、页面开关、Banner 和文本可配置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前台规则散落在页面描述中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建立配置版本、发布时间和客户端降级契约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内容真实性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存在假人和弹幕入口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只提出风险，未明确产品取舍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生产环境不展示伪造用户行为；演示数据必须标识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异常恢复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任务大厅接口异常，客服页可能空白</w:t>
            </w:r>
          </w:p>
        </w:tc>
        <w:tc>
          <w:tcPr>
            <w:tcW w:type="dxa" w:w="273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通用错误处理不够落地</w:t>
            </w:r>
          </w:p>
        </w:tc>
        <w:tc>
          <w:tcPr>
            <w:tcW w:type="dxa" w:w="288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每个核心入口增加错误码、重试和备用路径</w:t>
            </w:r>
          </w:p>
        </w:tc>
      </w:tr>
    </w:tbl>
    <w:p>
      <w:pPr>
        <w:spacing w:before="0" w:after="120" w:line="300" w:lineRule="auto"/>
      </w:pPr>
      <w:r>
        <w:rPr>
          <w:rFonts w:ascii="Heiti SC" w:hAnsi="Heiti SC" w:eastAsia="Heiti SC"/>
          <w:b/>
          <w:color w:val="18202F"/>
          <w:sz w:val="21"/>
        </w:rPr>
        <w:t>V2 的核心原则是：后台每一次影响用户权益的操作，都必须在移动端形成可解释、可追踪、可申诉的结果。</w:t>
      </w:r>
    </w:p>
    <w:p>
      <w:pPr>
        <w:pStyle w:val="Heading1"/>
        <w:spacing w:before="200" w:after="120"/>
      </w:pPr>
      <w:r>
        <w:t>1 文档范围与方法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本需求基于登录后的页面逐项浏览、按钮与导航行为检查、页面状态观察，以及浏览器中可见网络请求和前端资源分析。本文把结论分为三类：实测行为、前端可见实现、建议需求。敏感手机号、邀请码、银行卡等信息已脱敏，不作为原型内容。</w:t>
      </w:r>
    </w:p>
    <w:p>
      <w:pPr>
        <w:pStyle w:val="Heading2"/>
        <w:spacing w:before="140" w:after="120"/>
      </w:pPr>
      <w:r>
        <w:t>1.1 已覆盖范围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登录页现状、注册页字段、会话与路由保护。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首页、荣誉榜、会员等级、平台简介、规则说明、代理合作、公司资质。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订单记录筛选、领取中心、订单资金变化、手工商城。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储入、取出、收款信息绑定、储入记录、取出记录、账户明细。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个人信息、头像上传、登录密码、交易密码、通知记录、在线客服。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可观察接口、响应结构、关键数据字段与前端安全实现。</w:t>
      </w:r>
    </w:p>
    <w:p>
      <w:pPr>
        <w:pStyle w:val="Heading2"/>
        <w:spacing w:before="140" w:after="120"/>
      </w:pPr>
      <w:r>
        <w:t>1.2 未执行操作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为避免生成真实订单、变更资金、上传个人文件、修改密码或退出当前会话，本文未点击自动领取、订单提交、储入提交、取出确认、收款信息提交、头像上传、密码提交和退出登录。对应需求由页面字段、前端接口定义与上下游数据状态推导，并标记为待联调确认。</w:t>
      </w:r>
    </w:p>
    <w:p>
      <w:pPr>
        <w:pStyle w:val="Heading1"/>
        <w:spacing w:before="200" w:after="120"/>
      </w:pPr>
      <w:r>
        <w:t>2 产品定位与角色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产品可定位为移动端会员任务与佣金账户平台。用户通过注册、储入余额、领取任务订单、完成任务、获得本金返还与佣金，并可查看台账或发起取出。平台通过等级、任务数量和费率管理用户权益，通过客服处理储入、异常订单和账户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1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主要目标</w:t>
            </w:r>
          </w:p>
        </w:tc>
        <w:tc>
          <w:tcPr>
            <w:tcW w:type="dxa" w:w="50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关键权限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游客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了解平台并注册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登录、注册、查看隐私政策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领取任务并查看收益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首页、任务、订单、余额、客服、个人设置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高级会员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按等级获得更多任务和更高费率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等级权益、额度与次数受配置控制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处理储入、取出、异常任务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会话、工单、用户与交易查询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运营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管理内容、等级、任务和公告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配置、发布、审核、数据看板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财务与风控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审核资金和异常行为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充值审核、提现审核、台账、风控规则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管理员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维护权限与系统参数</w:t>
            </w:r>
          </w:p>
        </w:tc>
        <w:tc>
          <w:tcPr>
            <w:tcW w:type="dxa" w:w="50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RBAC、审计日志、系统配置</w:t>
            </w:r>
          </w:p>
        </w:tc>
      </w:tr>
    </w:tbl>
    <w:p/>
    <w:p>
      <w:pPr>
        <w:pStyle w:val="Heading1"/>
        <w:spacing w:before="200" w:after="120"/>
      </w:pPr>
      <w:r>
        <w:t>3 信息架构与页面路由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100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一级模块</w:t>
            </w:r>
          </w:p>
        </w:tc>
        <w:tc>
          <w:tcPr>
            <w:tcW w:type="dxa" w:w="208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页面或路由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核心内容</w:t>
            </w:r>
          </w:p>
        </w:tc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入口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认证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/login  /register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手机号登录、账户名、推荐码、验证码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未登录访问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首页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/home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活动图、快捷入口、余额、荣誉榜、会员等级、公司介绍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底部首页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/receive  /orderDetail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领取、等待、任务详情、提交完成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底部领取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记录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记录页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全部、待处理、已完成订单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底部记录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手工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/mall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手工任务卡片并引导客服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首页快捷入口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/recharge  /withdrawal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储入、取出、余额、交易密码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首页与个人中心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账户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/mine  /personalInfo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用户资料、信用分、邀请码、设置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底部我的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明细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/depositRecord  /withdrawalRecord  /bill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储入、取出、余额台账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我的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/customerService  /iframeCustom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客服列表与第三方会话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底部客服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</w:t>
            </w:r>
          </w:p>
        </w:tc>
        <w:tc>
          <w:tcPr>
            <w:tcW w:type="dxa" w:w="208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/html/{id}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平台简介、规则、代理、资质</w:t>
            </w:r>
          </w:p>
        </w:tc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首页公司简介</w:t>
            </w:r>
          </w:p>
        </w:tc>
      </w:tr>
    </w:tbl>
    <w:p/>
    <w:p>
      <w:pPr>
        <w:pStyle w:val="Heading2"/>
        <w:spacing w:before="140" w:after="120"/>
      </w:pPr>
      <w:r>
        <w:t>3.1 建议导航原则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底部五栏固定为首页、记录、领取、客服、我的；详情页隐藏底部栏并保留明确返回。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资金页面必须显示币种、可用余额、冻结余额、预计到账和手续费，不使用含义不明的“人民币编码”。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所有金额变动都能跳转至同一业务单据，并在台账中保持可解释、可追溯。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客服 iframe 需明确第三方来源、隐私边界和会话状态，失败时提供备用联系方式。</w:t>
      </w:r>
    </w:p>
    <w:p>
      <w:pPr>
        <w:pStyle w:val="Heading1"/>
        <w:spacing w:before="200" w:after="120"/>
      </w:pPr>
      <w:r>
        <w:t>4 核心业务闭环</w:t>
      </w:r>
    </w:p>
    <w:p>
      <w:pPr>
        <w:pStyle w:val="Heading2"/>
        <w:spacing w:before="140" w:after="120"/>
      </w:pPr>
      <w:r>
        <w:t>4.1 任务订单闭环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用户进入领取中心，系统校验登录态、营业时间、会员等级、最低可用余额、未完成任务与风控状态。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用户点击领取后，系统创建或匹配一笔任务订单，返回任务编号、商品、金额、佣金、截止时间与状态。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任务确认时，台账先记录交易扣款；完成后记录本金返还和佣金入账。参考数据中同一业务单号出现 -298、+298、+14.9 三条流水。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订单必须支持待领取、匹配中、待处理、处理中、已完成、超时、冻结、取消与失败，并记录每次状态变化。</w:t>
      </w:r>
    </w:p>
    <w:p>
      <w:pPr>
        <w:pStyle w:val="ListNumber"/>
        <w:spacing w:after="80"/>
      </w:pPr>
      <w:r>
        <w:rPr>
          <w:rFonts w:ascii="Heiti SC" w:hAnsi="Heiti SC" w:eastAsia="Heiti SC"/>
          <w:color w:val="18202F"/>
          <w:sz w:val="20"/>
        </w:rPr>
        <w:t>任何补差额、冻结或信用分变化都必须有明确原因、复核入口和申诉渠道；不得依赖口头客服指令。</w:t>
      </w:r>
    </w:p>
    <w:p>
      <w:pPr>
        <w:pStyle w:val="Heading2"/>
        <w:spacing w:before="140" w:after="120"/>
      </w:pPr>
      <w:r>
        <w:t>4.2 储入与取出闭环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储入页面按等级展示金额、赠送额、每日单数和佣金比例，用户填写金额与姓名后提交。参考站点还要求联系客服获取收款方式。新系统应改为平台内生成可核验的支付订单，禁止客服通过聊天发送临时个人账户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取出前需绑定姓名、银行名、银行账户与收款码，随后输入金额和交易密码。新系统应只保留与实际支付通道必要的字段，敏感数据加密存储，收款码上传须做病毒扫描、内容校验与访问控制。</w:t>
      </w:r>
    </w:p>
    <w:p>
      <w:pPr>
        <w:pStyle w:val="Heading2"/>
        <w:spacing w:before="140" w:after="120"/>
      </w:pPr>
      <w:r>
        <w:t>4.3 会员与代理闭环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设置普通、白银、黄金、铂金、钻石、星耀、至尊七档，充值门槛、赠送额、每日单数和佣金比例逐级上升，并存在三级推荐奖励。建议将等级规则做成版本化配置，禁止前端写死；代理奖励必须在合规评估通过后再启用。</w:t>
      </w:r>
    </w:p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4.4 后台操作与移动端反馈闭环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后台修改等级、佣金、每日次数或提现限制时，移动端必须显示规则版本和生效时间。进行中的订单继续使用创建时的规则快照。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后台审核充值、提现或会员任务后，移动端记录页同步显示审核节点、处理时间、结果和原因，并通过站内通知提醒用户。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后台禁用、冻结或限制会员时，移动端不得只表现为接口失败。系统应进入受限状态页，说明受影响功能、期限、原因类别和申诉入口。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后台执行余额调整或奖励发放时，移动端账户明细必须产生独立流水，展示业务单号、变动方向、原因摘要和处理主体类型。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后台下线 Banner、内容、商品、任务或客服入口后，移动端按配置版本刷新。已打开的页面应显示已下线状态，不得继续提交。</w:t>
      </w:r>
    </w:p>
    <w:p>
      <w:pPr>
        <w:pStyle w:val="Heading1"/>
        <w:spacing w:before="200" w:after="120"/>
      </w:pPr>
      <w:r>
        <w:t>5 页面级功能需求</w:t>
      </w:r>
    </w:p>
    <w:p>
      <w:pPr>
        <w:pStyle w:val="Heading2"/>
        <w:spacing w:before="140" w:after="120"/>
      </w:pPr>
      <w:r>
        <w:t>5.1 登录与注册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93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字段与控件</w:t>
            </w:r>
          </w:p>
        </w:tc>
        <w:tc>
          <w:tcPr>
            <w:tcW w:type="dxa" w:w="33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校验与行为</w:t>
            </w:r>
          </w:p>
        </w:tc>
        <w:tc>
          <w:tcPr>
            <w:tcW w:type="dxa" w:w="223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验收要点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登录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手机号、密码、记住密码、登录、去注册、隐私政策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手机号格式；密码非空；错误次数限制；登录成功进入首页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不在本地明文保存密码；支持会话过期提示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注册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账户名、11 位手机号、密码、推荐码、图片验证码、隐私政策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账户名必填；手机号唯一；验证码校验；推荐码可选或按运营配置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提交前明确同意协议；防批量注册；注册成功自动登录或返回登录</w:t>
            </w:r>
          </w:p>
        </w:tc>
      </w:tr>
      <w:tr>
        <w:trPr>
          <w:cantSplit/>
        </w:trPr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会话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Authorization 令牌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401 清除会话并返回登录；403 显示可解释错误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支持刷新、撤销、设备管理与退出所有设备</w:t>
            </w:r>
          </w:p>
        </w:tc>
      </w:tr>
    </w:tbl>
    <w:p/>
    <w:p>
      <w:pPr>
        <w:pStyle w:val="Heading2"/>
        <w:spacing w:before="140" w:after="120"/>
      </w:pPr>
      <w:r>
        <w:t>5.2 首页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展示轮播图或单图运营位，支持后台排序、上下线、跳转类型和有效期。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快捷入口为领取、储入、取出、手工；按后台开关显示，关闭时给出原因而不是静默失效。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账户卡展示昵称、可用余额与币种；点击可进入账户明细。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荣誉榜为脱敏昵称、积分和结果状态，要求数据真实性标识、刷新频率与隐私策略。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会员等级展示当前等级、费率和下一等级条件；等级图不得只是一张不可访问的图片。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公司简介包括平台简介、规则说明、代理合作和公司资质，内容由 CMS 管理并保留版本。</w:t>
      </w:r>
    </w:p>
    <w:p>
      <w:pPr>
        <w:pStyle w:val="Heading2"/>
        <w:spacing w:before="140" w:after="120"/>
      </w:pPr>
      <w:r>
        <w:t>5.3 记录与订单详情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记录页显示可用资产，提供全部、待处理、已完成三种筛选。列表项包括创建时间、商品图、商品名、商品价格、佣金与状态。分页默认 10 条，支持下拉刷新、空状态、加载失败重试和详情跳转。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实测发现先切换待处理、再切换已完成时曾短暂出现空列表，而重新加载全部后可见已完成记录。验收时需覆盖筛选参数、缓存状态和并发请求覆盖问题。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115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用户可见文案</w:t>
            </w:r>
          </w:p>
        </w:tc>
        <w:tc>
          <w:tcPr>
            <w:tcW w:type="dxa" w:w="201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允许操作</w:t>
            </w:r>
          </w:p>
        </w:tc>
        <w:tc>
          <w:tcPr>
            <w:tcW w:type="dxa" w:w="33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系统约束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匹配中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正在匹配任务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取消等待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只允许一个匹配请求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待处理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请在截止时间前完成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查看详情、提交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倒计时与服务端时间一致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处理中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已提交，等待确认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查看详情、联系客服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防重复提交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已完成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本金与佣金已入账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查看流水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三笔或组合流水必须可核对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超时或冻结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显示原因与处理路径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申诉、联系客服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需要人工复核和审计</w:t>
            </w:r>
          </w:p>
        </w:tc>
      </w:tr>
      <w:tr>
        <w:trPr>
          <w:cantSplit/>
        </w:trPr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失败或取消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显示失败原因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重新领取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不得产生不一致余额</w:t>
            </w:r>
          </w:p>
        </w:tc>
      </w:tr>
    </w:tbl>
    <w:p/>
    <w:p>
      <w:pPr>
        <w:pStyle w:val="Heading2"/>
        <w:spacing w:before="140" w:after="120"/>
      </w:pPr>
      <w:r>
        <w:t>5.4 领取中心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领取中心包含会员等级、佣金费率、主领取按钮、匹配进度、今日战果和规则说明。点击主按钮前需完成资格预检；按钮点击后立即进入不可重复提交的 loading 状态；匹配成功跳转订单详情，失败显示可恢复原因。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预检项：营业时间、账户状态、信用或风控状态、最低余额、当日次数、未完成订单、等级商品范围。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统计项：总资产、昨日佣金、今日佣金、今日领取数；所有统计口径需要后台统一定义。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规则文案需要 CMS 管理，禁止把风控与资金规则硬编码在页面。</w:t>
      </w:r>
    </w:p>
    <w:p>
      <w:pPr>
        <w:pStyle w:val="Heading2"/>
        <w:spacing w:before="140" w:after="120"/>
      </w:pPr>
      <w:r>
        <w:t>5.5 手工商城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页面以双列卡片展示图片、任务名称、份数、工资与已领取数；点击卡片实测直接进入客服页。建议增加任务详情、适用人群、交付方式、预计周期、库存、审核标准和风险提示，再由用户主动发起咨询。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参考站点一条商品名称中可见脚本标签文本，说明内容过滤不足。新系统必须对运营内容做 HTML 转义、富文本白名单、图片域名白名单和持久型 XSS 检测。</w:t>
      </w:r>
    </w:p>
    <w:p>
      <w:pPr>
        <w:pStyle w:val="Heading2"/>
        <w:spacing w:before="140" w:after="120"/>
      </w:pPr>
      <w:r>
        <w:t>5.6 客服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客服页展示多个客服入口与工作时间，点击后在站内 iframe 打开第三方聊天。聊天页含历史会话、系统消息、文本框、图片与视频上传。需求上应增加服务状态、排队人数、会话编号、隐私声明、附件大小与类型限制、敏感信息提醒和会话评价。</w:t>
      </w:r>
    </w:p>
    <w:p>
      <w:pPr>
        <w:pStyle w:val="Heading2"/>
        <w:spacing w:before="140" w:after="120"/>
        <w:ind w:left="0" w:firstLine="0"/>
      </w:pPr>
      <w:r>
        <w:t>5.7 我的与个人信息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功能</w:t>
            </w:r>
          </w:p>
        </w:tc>
        <w:tc>
          <w:tcPr>
            <w:tcW w:type="dxa" w:w="446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需求</w:t>
            </w:r>
          </w:p>
        </w:tc>
        <w:tc>
          <w:tcPr>
            <w:tcW w:type="dxa" w:w="35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边界或风险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资料概览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头像、昵称、邀请码、会员等级、信用状态、余额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手机号等敏感字段默认脱敏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储入与取出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提供余额入口与状态提示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资金操作必须二次确认与风控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收款信息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姓名、银行、账户、可选支付通道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加密、最小化收集、修改留痕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头像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上传、裁剪、预览、替换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文件扫描、大小和格式校验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密码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旧密码、新密码、确认密码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强度、频控、成功后令牌失效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交易密码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独立于登录密码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不得用无盐 MD5；失败次数锁定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通知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公告列表、未读、已读、详情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重要规则变更需留存阅读证据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退出</w:t>
            </w:r>
          </w:p>
        </w:tc>
        <w:tc>
          <w:tcPr>
            <w:tcW w:type="dxa" w:w="44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清除令牌和本地用户数据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保留确认，避免误触</w:t>
            </w:r>
          </w:p>
        </w:tc>
      </w:tr>
    </w:tbl>
    <w:p/>
    <w:p>
      <w:pPr>
        <w:pStyle w:val="Heading2"/>
        <w:spacing w:before="140" w:after="120"/>
      </w:pPr>
      <w:r>
        <w:t>5.8 储入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页面展示等级规则表和金额、姓名输入框。参考规则为普通 500、白银 1888、黄金 10000、铂金 30000、钻石 50000、星耀 88888、至尊 188888；费率从 1.8% 到 5%。规则说明和表格存在个别口径差异，必须以后台版本化配置为唯一事实源。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提交前展示收款主体、订单号、有效期、金额、手续费和风险提示。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储入订单状态：待支付、待审核、成功、失败、过期、取消；失败必须提供原因。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若需要上传付款凭证，必须经过用户明确选择，并限制为图片或 PDF。</w:t>
      </w:r>
    </w:p>
    <w:p>
      <w:pPr>
        <w:pStyle w:val="Heading2"/>
        <w:spacing w:before="140" w:after="120"/>
        <w:ind w:left="0" w:firstLine="0"/>
      </w:pPr>
      <w:r>
        <w:t>5.9 取出与收款绑定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取出页面展示余额、金额、已绑定收款信息摘要和交易密码。若未绑定，弹窗提示并引导至绑定页。绑定页实测字段为姓名、银行名、银行账户、人民币编码、支付宝收款码和微信收款码。建议删除含义不清或非必要字段，并根据支付渠道动态展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金额校验：大于 0、不超过可用余额、符合单笔最小值和最大值，并显示手续费与到账金额。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状态：待审核、审核中、处理中、成功、失败、驳回、取消；用户可查看原因和预计时间。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交易密码只在提交时使用；服务端采用强哈希校验并配合频率限制、设备风控和二次验证。</w:t>
      </w:r>
    </w:p>
    <w:p>
      <w:pPr>
        <w:pStyle w:val="Heading2"/>
        <w:spacing w:before="140" w:after="120"/>
        <w:ind w:left="0" w:firstLine="0"/>
      </w:pPr>
      <w:r>
        <w:t>⁠5.10 账户明细与记录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账户明细需按业务单号聚合展示变动类型、变动金额、变动前余额、变动后余额、时间、状态和关联单据。储入记录显示订单号、状态、金额、创建时间；取出记录字段同构，并增加手续费、到账金额与失败原因。</w:t>
      </w:r>
    </w:p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5.11 任务大厅与会员任务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后台同时存在任务大厅、任务列表和会员任务审核，因此移动端需要把人工任务与自动领取订单分开设计，避免共用状态和文案。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cantSplit/>
          <w:tblHeader w:val="true"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环节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移动端需求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后台对应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关键状态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任务大厅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展示任务名称、图标、奖励、适用等级、剩余名额和截止时间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任务大厅配置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未开始、可申请、已满、已结束、已下线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任务详情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展示说明、材料要求、审核标准、预计时长和风险提示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任务列表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可申请、不可申请、已申请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提交材料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支持文本、图片或文件，提交前预览并可撤回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会员任务审核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草稿、已提交、审核中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审核结果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显示通过、驳回或补件原因，允许查看历史版本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会员任务审核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通过、驳回、待补件、已取消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奖励入账</w:t>
            </w:r>
          </w:p>
        </w:tc>
        <w:tc>
          <w:tcPr>
            <w:tcW w:type="dxa" w:w="367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审核通过后生成奖励流水和通知</w:t>
            </w:r>
          </w:p>
        </w:tc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奖励及账变</w:t>
            </w:r>
          </w:p>
        </w:tc>
        <w:tc>
          <w:tcPr>
            <w:tcW w:type="dxa" w:w="266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待入账、已入账、入账失败</w:t>
            </w:r>
          </w:p>
        </w:tc>
      </w:tr>
    </w:tbl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5.12 会员受限与运营通知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会员状态至少包括正常、临时限制、冻结、禁用和注销中；登录后优先展示状态说明，而不是让各页面分别报错。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站内通知按系统公告、审核结果、资金结果、安全提醒和规则变更分类，重要通知保留已读时间和内容版本。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荣誉榜、滚动消息和弹幕只能使用可证明的真实业务数据。测试或演示数据必须与生产数据隔离并明确标识。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客服入口不可用时，显示服务时间、错误编号、重试按钮和经审核的备用渠道；不得把空白 iframe 作为最终状态。</w:t>
      </w:r>
    </w:p>
    <w:p>
      <w:pPr>
        <w:pStyle w:val="Heading1"/>
        <w:spacing w:before="200" w:after="120"/>
      </w:pPr>
      <w:r>
        <w:t>6 数据模型与状态机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实体</w:t>
            </w:r>
          </w:p>
        </w:tc>
        <w:tc>
          <w:tcPr>
            <w:tcW w:type="dxa" w:w="51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关键字段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User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id, username, mobile, avatar, status, inviteCode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用户主档，手机号单独加密与索引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Membership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levelId, rate, dailyLimit, withdrawLimits, effectiveAt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版本化等级权益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Wallet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available, frozen, currency, version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使用乐观锁或账户序列保证一致性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LedgerEntry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bizNo, type, direction, amount, before, after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不可变台账，支持幂等与冲正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TaskOrder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orderNo, productId, amount, commission, status, deadline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任务生命周期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DepositOrder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depositNo, amount, channel, status, proofUrl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储入生命周期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WithdrawalOrder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withdrawNo, amount, fee, netAmount, status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取出生命周期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PayoutProfile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realName, bankName, maskedAccount, qrAssetIds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敏感字段加密与脱敏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Content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type, title, body, version, status, publishedAt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公告、规则与公司资料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SupportSession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sessionNo, provider, status, openedAt, closedAt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第三方客服映射</w:t>
            </w:r>
          </w:p>
        </w:tc>
      </w:tr>
      <w:tr>
        <w:trPr>
          <w:cantSplit/>
        </w:trPr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AuditLog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actor, action, target, before, after, ip, device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资金与权限操作强制留痕</w:t>
            </w:r>
          </w:p>
        </w:tc>
      </w:tr>
    </w:tbl>
    <w:p/>
    <w:p>
      <w:pPr>
        <w:pStyle w:val="Heading2"/>
        <w:spacing w:before="140" w:after="120"/>
      </w:pPr>
      <w:r>
        <w:t>6.1 幂等与一致性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领取、提交订单、储入回调、取出申请和密码修改都必须使用幂等键。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钱包余额只能由服务端台账事务修改；前端显示值不参与结算。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订单状态转换由服务端状态机控制，不允许客户端任意设置。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重复回调、网络重试和并发点击不得重复扣款、返款或发佣金。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所有涉及金额的接口返回业务单号和最新余额版本。</w:t>
      </w:r>
    </w:p>
    <w:p>
      <w:pPr>
        <w:pStyle w:val="Heading1"/>
        <w:spacing w:before="200" w:after="120"/>
      </w:pPr>
      <w:r>
        <w:t>7 接口需求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下表分为实测请求与前端资源中可见接口。实测接口在浏览器中返回 HTTP 200，响应外层为 Base64 字符串，解码后为 JSON，统一包含 success、code、data、msg。建议新系统直接使用标准 JSON，不把 Base64 当作安全措施。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79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方法</w:t>
            </w:r>
          </w:p>
        </w:tc>
        <w:tc>
          <w:tcPr>
            <w:tcW w:type="dxa" w:w="23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接口</w:t>
            </w:r>
          </w:p>
        </w:tc>
        <w:tc>
          <w:tcPr>
            <w:tcW w:type="dxa" w:w="180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用途</w:t>
            </w:r>
          </w:p>
        </w:tc>
        <w:tc>
          <w:tcPr>
            <w:tcW w:type="dxa" w:w="352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主要请求或返回字段</w:t>
            </w:r>
          </w:p>
        </w:tc>
        <w:tc>
          <w:tcPr>
            <w:tcW w:type="dxa" w:w="12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证据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/wap-api/doLogin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登录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username, password；token, users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前端实现与已发生请求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/wap-api/doRegister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注册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nickName, username, password, inviteCode, code, uuid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/wap-api/captchaImage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图片验证码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uuid, img, captchaBol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/wap-api/profile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用户概要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tel, username, headpic, inviteCode, level, levelRate, balance, xyf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/wap-api/banner/list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首页横幅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图片地址数组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/wap-api/home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首页开关与内容编号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SHOP_STATUS, TASK, POP_MESSAGE, 内容 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/wap-api/user/data/home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荣誉榜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name, avatar, balance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/wap-api/ctrl/level-list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等级配置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name, orderNum, num, giveNum, bili, 提现限制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/wap-api/support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客服列表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qq, url, workTime, 分页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订单分页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pageNo, pageSize, status；订单与商品字段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/wap-api/convey/order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领取或匹配订单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无显式参数；返回订单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/wap-api/convey/order/submit/{id}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提交任务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订单 id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/wap-api/convey/count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领取统计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balance, countToday, countNumToday, countNumYesterday, content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/wap-api/convey/unpay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未完成订单检查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djs 等状态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/wap-api/product/page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手工商品分页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分页条件；商品卡片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/wap-api/platform-config/trade-wait-time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任务等待时间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秒数或分钟数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/wap-api/bank/current/info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当前收款信息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收款资料摘要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/wap-api/bank/save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保存收款信息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姓名、银行、账户、收款码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/wap-api/recharge/recharge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创建储入申请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amount, name 等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/wap-api/recharge/page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储入记录分页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分页与状态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/wap-api/deposit/do_deposit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创建取出申请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amount, paypassword 等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/wap-api/deposit/page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取出记录分页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分页与状态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/wap-api/balance-log/page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账户流水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分页；类型、金额、业务单号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前端实现与页面实测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/wap-api/users/setPwd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修改登录密码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oldPwd, newPwd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/wap-api/users/setPwd2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修改交易密码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oldPwd, newPwd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/wap-api/local/upload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文件上传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multipart file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前端实现，未执行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4"/>
              </w:rPr>
              <w:t>GET/POST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/wap-api/user-tc/select  /read/{id}  /page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弹窗通知</w:t>
            </w:r>
          </w:p>
        </w:tc>
        <w:tc>
          <w:tcPr>
            <w:tcW w:type="dxa" w:w="352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公告、已读、分页</w:t>
            </w:r>
          </w:p>
        </w:tc>
        <w:tc>
          <w:tcPr>
            <w:tcW w:type="dxa" w:w="12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4"/>
              </w:rPr>
              <w:t>实测与前端实现</w:t>
            </w:r>
          </w:p>
        </w:tc>
      </w:tr>
    </w:tbl>
    <w:p/>
    <w:p>
      <w:pPr>
        <w:pStyle w:val="Heading2"/>
        <w:spacing w:before="140" w:after="120"/>
      </w:pPr>
      <w:r>
        <w:t>7.1 新系统接口规范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统一使用 HTTPS、JSON、明确的 HTTP 状态码、traceId、错误码和可本地化 message。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Authorization 使用短期访问令牌与可撤销刷新令牌；敏感操作增加一次性挑战或二次验证。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列表接口统一 page、pageSize、sort、status，返回 items、total、hasNext。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金额使用最小货币单位整数或高精度 Decimal，禁止浮点结算。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上传接口先申请受限上传凭证，服务端扫描后再绑定业务。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所有写接口要求 Idempotency-Key、设备信息与审计上下文。</w:t>
      </w:r>
    </w:p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7.2 后台配置与移动端契约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 w:val="true"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后台配置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移动端消费方式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334E7D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/>
                <w:color w:val="FFFFFF"/>
                <w:sz w:val="17"/>
              </w:rPr>
              <w:t>校验与降级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营业与交易时间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展示当前可用状态和下一开放时间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结束时间必须晚于开始时间；配置无效时关闭提交并告警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金额与次数门槛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表单提示、按钮状态和服务端校验使用同一版本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客户端仅展示，服务端最终裁决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会员等级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等级页、领取资格、佣金和提现限制统一读取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订单创建时保存规则快照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Banner 与文本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按排序、有效期、语言和跳转类型渲染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危险链接拦截；富文本白名单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商品与任务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仅展示已发布且适用于当前用户的条目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已下线条目不可新建申请，历史记录仍可查看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center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客服入口</w:t>
            </w:r>
          </w:p>
        </w:tc>
        <w:tc>
          <w:tcPr>
            <w:tcW w:type="dxa" w:w="432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按在线状态、时间和排序展示</w:t>
            </w:r>
          </w:p>
        </w:tc>
        <w:tc>
          <w:tcPr>
            <w:tcW w:type="dxa" w:w="3456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3F6FB"/>
          </w:tcPr>
          <w:p>
            <w:pPr>
              <w:spacing w:after="0"/>
              <w:jc w:val="left"/>
            </w:pPr>
            <w:r>
              <w:rPr>
                <w:rFonts w:ascii="Heiti SC" w:hAnsi="Heiti SC" w:eastAsia="Heiti SC"/>
                <w:b w:val="0"/>
                <w:color w:val="18202F"/>
                <w:sz w:val="17"/>
              </w:rPr>
              <w:t>第三方失败时回退到备用联系方式</w:t>
            </w:r>
          </w:p>
        </w:tc>
      </w:tr>
    </w:tbl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所有配置响应应包含 configVersion、effectiveAt 和 updatedAt。客户端缓存必须按版本失效，关键交易提交时还要携带规则版本，由服务端拒绝过期规则并返回可读提示。</w:t>
      </w:r>
    </w:p>
    <w:p>
      <w:pPr>
        <w:pStyle w:val="Heading1"/>
        <w:spacing w:before="200" w:after="120"/>
      </w:pPr>
      <w:r>
        <w:t>8 管理后台需求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模块</w:t>
            </w:r>
          </w:p>
        </w:tc>
        <w:tc>
          <w:tcPr>
            <w:tcW w:type="dxa" w:w="525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主要能力</w:t>
            </w:r>
          </w:p>
        </w:tc>
        <w:tc>
          <w:tcPr>
            <w:tcW w:type="dxa" w:w="302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审批与审计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用户管理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查询、状态、等级、信用、设备、邀请关系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冻结与解冻需理由和双人复核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等级配置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门槛、赠送、次数、费率、提现限制、商品范围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版本化发布，可回滚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任务商品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商品、图片、金额、佣金、库存、上下线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内容过滤和审核流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任务订单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状态、倒计时、资金流水、异常处理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人工改状态必须双人审批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储入管理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支付订单、回调、凭证、审核、对账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每日对账与差错处理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取出管理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审核、通道、手续费、失败重试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大额与异常规则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横幅、规则、简介、资质、公告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预览、定时、版本与发布人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客服管理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客服入口、工作时间、会话映射、工单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第三方访问最小权限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风控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设备、IP、频次、关联账户、异常金额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命中规则可解释并可申诉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权限审计</w:t>
            </w:r>
          </w:p>
        </w:tc>
        <w:tc>
          <w:tcPr>
            <w:tcW w:type="dxa" w:w="525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RBAC、操作日志、导出日志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关键权限定期复核</w:t>
            </w:r>
          </w:p>
        </w:tc>
      </w:tr>
    </w:tbl>
    <w:p/>
    <w:p>
      <w:pPr>
        <w:pStyle w:val="Heading1"/>
        <w:spacing w:before="200" w:after="120"/>
      </w:pPr>
      <w:r>
        <w:t>9 非功能需求</w:t>
      </w:r>
    </w:p>
    <w:p>
      <w:pPr>
        <w:pStyle w:val="Heading2"/>
        <w:spacing w:before="140" w:after="120"/>
      </w:pPr>
      <w:r>
        <w:t>9.1 安全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密码使用 Argon2id 或 bcrypt 加盐存储。参考站点在浏览器端对密码做 MD5，这不能替代服务端强哈希。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输入与富文本做上下文相关转义；运营内容采用白名单；CSP 禁止任意外部脚本。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银行卡和手机号加密存储，日志与埋点禁止记录完整值；展示统一脱敏。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接口启用 CSRF 或同站策略、速率限制、风控挑战、签名回调和重放保护。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第三方客服 iframe 设置最小 sandbox 权限、allowlist 域名和清晰的数据传输告知。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上传文件限制 MIME、扩展名、体积与像素，执行恶意内容扫描，使用隔离存储和短期访问 URL。</w:t>
      </w:r>
    </w:p>
    <w:p>
      <w:pPr>
        <w:pStyle w:val="Heading2"/>
        <w:spacing w:before="140" w:after="120"/>
      </w:pPr>
      <w:r>
        <w:t>9.2 性能与可用性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首屏 LCP 目标小于 2.5 秒，核心 API P95 小于 800 毫秒，写操作 P95 小于 1.5 秒。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按钮防抖、请求取消、重试与离线提示；长列表分页和图片懒加载。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资金写入接口可用性目标 99.95%，客服与内容接口目标 99.9%。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客户端时间仅用于展示，截止时间与状态以服务端为准。</w:t>
      </w:r>
    </w:p>
    <w:p>
      <w:pPr>
        <w:pStyle w:val="Heading2"/>
        <w:spacing w:before="140" w:after="120"/>
      </w:pPr>
      <w:r>
        <w:t>9.3 可访问性与国际化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按钮和导航必须有语义标签与至少 44×44 像素触控区域；颜色不作为唯一状态标识；支持字体放大。简体、繁体和术语需统一，避免同一页面混用“储入/充值”“取出/提现”“领取/抢单”。</w:t>
      </w:r>
    </w:p>
    <w:p>
      <w:pPr>
        <w:pStyle w:val="Heading1"/>
        <w:spacing w:before="200" w:after="120"/>
      </w:pPr>
      <w:r>
        <w:t>10 合规与业务风险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参考站点涉及先储入、任务扣款、返本付佣、推荐奖励、信用分和提现限制。此类模式在不同司法辖区可能触及支付、消费者保护、反洗钱、网络营销或其他监管要求。上线前需由法务和持牌支付机构评估，不应直接复制其资金规则、免责条款或客服收款模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144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风险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参考站点表现</w:t>
            </w:r>
          </w:p>
        </w:tc>
        <w:tc>
          <w:tcPr>
            <w:tcW w:type="dxa" w:w="417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新系统要求</w:t>
            </w:r>
          </w:p>
        </w:tc>
        <w:tc>
          <w:tcPr>
            <w:tcW w:type="dxa" w:w="936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优先级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资金真实性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客服提供收款方式，失败责任不清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使用合规支付通道、订单化收款与自动对账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诱导与不透明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高等级对应更高储入和收益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明确费用、风险、无保证收益，禁止误导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推荐奖励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三级佣金 16% 8% 4%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法务审查后决定是否启用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账户冻结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规则含冻结、补差额、信用分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冻结需合法依据、通知、申诉和复核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内容安全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商品名出现脚本标签文本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CMS 白名单与持久型 XSS 防护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密码安全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前端无盐 MD5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服务端强哈希、MFA、频控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隐私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收集银行账户和收款码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最小化、加密、授权、删除与访问审计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P0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数据一致性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筛选短暂空列表、规则口径差异</w:t>
            </w:r>
          </w:p>
        </w:tc>
        <w:tc>
          <w:tcPr>
            <w:tcW w:type="dxa" w:w="41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单一配置源、请求竞态处理、自动化测试</w:t>
            </w:r>
          </w:p>
        </w:tc>
        <w:tc>
          <w:tcPr>
            <w:tcW w:type="dxa" w:w="93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P1</w:t>
            </w:r>
          </w:p>
        </w:tc>
      </w:tr>
    </w:tbl>
    <w:p/>
    <w:p>
      <w:pPr>
        <w:pStyle w:val="Heading1"/>
        <w:spacing w:before="200" w:after="120"/>
      </w:pPr>
      <w:r>
        <w:t>11 埋点与运营指标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94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事件</w:t>
            </w:r>
          </w:p>
        </w:tc>
        <w:tc>
          <w:tcPr>
            <w:tcW w:type="dxa" w:w="3168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触发时机</w:t>
            </w:r>
          </w:p>
        </w:tc>
        <w:tc>
          <w:tcPr>
            <w:tcW w:type="dxa" w:w="432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关键属性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auth_login_result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登录成功或失败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result, errorCode, deviceRisk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home_shortcut_click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点击首页快捷入口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target, userLevel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order_claim_click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点击领取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eligibilityResult, balanceBucket, level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order_state_change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订单状态变化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orderNo, from, to, reason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deposit_submit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提交储入申请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amountBucket, channel, result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withdraw_submit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提交取出申请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amountBucket, fee, result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support_open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打开客服会话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provider, entry, workStatus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content_view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查看规则或公告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contentId, version, readDuration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security_challenge</w:t>
            </w:r>
          </w:p>
        </w:tc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触发安全验证</w:t>
            </w:r>
          </w:p>
        </w:tc>
        <w:tc>
          <w:tcPr>
            <w:tcW w:type="dxa" w:w="43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scene, result, ruleId</w:t>
            </w:r>
          </w:p>
        </w:tc>
      </w:tr>
    </w:tbl>
    <w:p/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核心指标包括注册转化、首个任务完成率、领取成功率、订单超时率、储入成功率、取出成功率与处理时长、客服转人工率、异常账户率、账务差错率和投诉率。涉及金额与身份的数据只做区间化或匿名化统计。</w:t>
      </w:r>
    </w:p>
    <w:p>
      <w:pPr>
        <w:pStyle w:val="Heading1"/>
        <w:spacing w:before="200" w:after="120"/>
      </w:pPr>
      <w:r>
        <w:t>12 验收标准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1. 未登录用户只能访问登录、注册和公开协议；受保护路由统一拦截。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2. 同一用户重复点击领取或提交订单，不产生重复业务单和重复资金流水。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3. 订单完成后，订单状态、钱包余额、三类流水和统计数据在一次事务或可验证最终一致性中完成。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4. 储入与取出所有状态均可在记录页查询，失败和驳回有明确原因。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5. 等级规则由后台发布后前台一致生效，表格、领取校验与提现限制不存在口径差异。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6. 手机号、银行卡、邀请码和交易密码不出现在客户端日志、服务端普通日志或分析平台。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7. 富文本、商品名、公告和客服消息中的脚本或危险 HTML 不能执行。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8. 接口 401、403、429、5xx、超时和断网场景均有清晰恢复路径。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9. 移动端 320 至 430 像素宽度可用，底部导航不遮挡内容，键盘弹出时表单按钮可达。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10. 关键资金和权限操作在后台可按用户、业务单号和时间完整审计。</w:t>
      </w:r>
    </w:p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12.1 后台联动补充验收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11. 后台发布新等级规则后，移动端在生效时间后展示新规则；存量订单仍按原规则结算。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12. 后台驳回充值、提现或任务申请后，移动端显示同一原因码、用户文案、处理时间和补救入口。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13. 后台冻结会员后，移动端所有受影响写操作均被服务端拒绝，并统一跳转受限状态页；解除后无需重新安装或清缓存。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14. 后台余额调整和奖励发放均生成不可变流水；移动端可从通知跳转至对应流水详情。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15. 任务大厅服务不可用时，移动端保留其他导航功能，显示错误编号并支持重试，不出现空白页或无限加载。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16. 客服第三方页面失败时，移动端展示备用渠道，且不泄露令牌、手机号、银行卡或完整会话参数。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17. 后台下线商品或任务后，新申请立即禁止；已申请记录仍可查看状态和审核结果。</w:t>
      </w:r>
    </w:p>
    <w:p>
      <w:pPr>
        <w:spacing w:before="0" w:after="120" w:line="300" w:lineRule="auto"/>
      </w:pPr>
      <w:r>
        <w:rPr>
          <w:rFonts w:ascii="Heiti SC" w:hAnsi="Heiti SC" w:eastAsia="Heiti SC"/>
          <w:b w:val="0"/>
          <w:color w:val="18202F"/>
          <w:sz w:val="21"/>
        </w:rPr>
        <w:t>18. 生产环境的榜单、弹幕和消息不得混入测试账号或伪造行为数据。</w:t>
      </w:r>
    </w:p>
    <w:p>
      <w:pPr>
        <w:pStyle w:val="Heading1"/>
        <w:spacing w:before="200" w:after="120"/>
      </w:pPr>
      <w:r>
        <w:t>13 交付优先级与里程碑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84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5112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范围</w:t>
            </w:r>
          </w:p>
        </w:tc>
        <w:tc>
          <w:tcPr>
            <w:tcW w:type="dxa" w:w="2880"/>
            <w:shd w:fill="334E7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退出条件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MVP 认证与账户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登录注册、资料、钱包、台账、内容、客服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权限、安全、审计基线通过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MVP 任务闭环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任务列表、领取、详情、提交、状态机、佣金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幂等和账务一致性测试通过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资金闭环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储入、取出、收款绑定、支付通道、对账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支付与法务合规评审通过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运营能力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等级、公告、横幅、商品、通知、后台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3F6FB"/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配置版本和发布审核可用</w:t>
            </w:r>
          </w:p>
        </w:tc>
      </w:tr>
      <w:tr>
        <w:trPr>
          <w:cantSplit/>
        </w:trPr>
        <w:tc>
          <w:tcPr>
            <w:tcW w:type="dxa" w:w="15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color w:val="18202F"/>
                <w:sz w:val="17"/>
              </w:rPr>
              <w:t>增长与优化</w:t>
            </w:r>
          </w:p>
        </w:tc>
        <w:tc>
          <w:tcPr>
            <w:tcW w:type="dxa" w:w="51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邀请关系、数据看板、体验优化</w:t>
            </w:r>
          </w:p>
        </w:tc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color w:val="18202F"/>
                <w:sz w:val="17"/>
              </w:rPr>
              <w:t>合规批准且核心指标稳定</w:t>
            </w:r>
          </w:p>
        </w:tc>
      </w:tr>
    </w:tbl>
    <w:p/>
    <w:p>
      <w:r>
        <w:br w:type="page"/>
      </w:r>
    </w:p>
    <w:p>
      <w:pPr>
        <w:pStyle w:val="Heading1"/>
        <w:spacing w:before="200" w:after="120"/>
      </w:pPr>
      <w:r>
        <w:t>14 低保真原型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以下原型根据实测页面重新绘制，用于确认页面层级、组件位置和交互入口，不复制原站品牌素材、头像或敏感数据。视觉设计阶段应重新建立色彩、字体、图标和组件规范。</w:t>
      </w:r>
    </w:p>
    <w:p>
      <w:pPr>
        <w:pageBreakBefore w:val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1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2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3  参考站点功能复刻原型</w:t>
      </w:r>
    </w:p>
    <w:p>
      <w:pPr>
        <w:pageBreakBefore/>
        <w:spacing w:before="360"/>
        <w:jc w:val="center"/>
      </w:pPr>
      <w:r>
        <w:drawing>
          <wp:inline xmlns:a="http://schemas.openxmlformats.org/drawingml/2006/main" xmlns:pic="http://schemas.openxmlformats.org/drawingml/2006/picture">
            <wp:extent cx="5669280" cy="46299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29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Heiti SC" w:hAnsi="Heiti SC" w:eastAsia="Heiti SC"/>
          <w:color w:val="667085"/>
          <w:sz w:val="18"/>
        </w:rPr>
        <w:t>图 4  参考站点功能复刻原型</w:t>
      </w:r>
    </w:p>
    <w:p>
      <w:pPr>
        <w:pStyle w:val="Heading1"/>
        <w:pageBreakBefore/>
        <w:spacing w:before="200" w:after="120"/>
      </w:pPr>
      <w:r>
        <w:t>15 待确认事项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目标产品是否真实涉及用户资金储入与取出，还是仅做演示积分。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任务来源、商品真实性、结算主体和佣金承担方。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目标市场与适用法律、支付通道和实名要求。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是否保留会员等级、推荐奖励、信用分和冻结机制。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客服使用自建系统还是第三方服务，允许传输哪些用户数据。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管理后台的组织结构、审批层级和财务对账责任人。</w:t>
      </w:r>
    </w:p>
    <w:p>
      <w:pPr>
        <w:pStyle w:val="ListBullet"/>
        <w:spacing w:after="60" w:line="288" w:lineRule="auto"/>
      </w:pPr>
      <w:r>
        <w:rPr>
          <w:rFonts w:ascii="Heiti SC" w:hAnsi="Heiti SC" w:eastAsia="Heiti SC"/>
          <w:color w:val="18202F"/>
          <w:sz w:val="20"/>
        </w:rPr>
        <w:t>品牌名、语言版本、视觉方向与是否需要 App 壳或 PWA。</w:t>
      </w:r>
    </w:p>
    <w:p>
      <w:pPr>
        <w:pStyle w:val="Heading2"/>
        <w:spacing w:before="200" w:after="120" w:line="300" w:lineRule="auto"/>
      </w:pPr>
      <w:r>
        <w:rPr>
          <w:rFonts w:ascii="Heiti SC" w:hAnsi="Heiti SC" w:eastAsia="Heiti SC"/>
          <w:b/>
          <w:color w:val="000000"/>
          <w:sz w:val="28"/>
        </w:rPr>
        <w:t>15.1 后台联动待确认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任务大厅与自动领取订单是否属于两个独立业务，还是同一任务的不同入口。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充值、提现和会员任务的驳回原因由固定字典选择，还是允许运营自由输入。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会员禁用、冻结、等级调整和余额调整分别由哪些角色发起、复核与申诉处理。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规则配置采用立即生效、定时发布还是审批后发布；存量订单使用哪一版规则。</w:t>
      </w:r>
    </w:p>
    <w:p>
      <w:pPr>
        <w:pStyle w:val="ListBullet"/>
        <w:spacing w:before="0" w:after="60" w:line="300" w:lineRule="auto"/>
      </w:pPr>
      <w:r>
        <w:rPr>
          <w:rFonts w:ascii="Heiti SC" w:hAnsi="Heiti SC" w:eastAsia="Heiti SC"/>
          <w:b w:val="0"/>
          <w:color w:val="18202F"/>
          <w:sz w:val="20"/>
        </w:rPr>
        <w:t>荣誉榜与弹幕是否保留。若保留，只能展示真实、可审计且已脱敏的数据。</w:t>
      </w:r>
    </w:p>
    <w:p>
      <w:pPr>
        <w:spacing w:after="120" w:line="307" w:lineRule="auto"/>
      </w:pPr>
      <w:r>
        <w:rPr>
          <w:rFonts w:ascii="Heiti SC" w:hAnsi="Heiti SC" w:eastAsia="Heiti SC"/>
          <w:color w:val="18202F"/>
          <w:sz w:val="21"/>
        </w:rPr>
        <w:t>在上述事项明确前，可以先完成无资金风险的认证、内容、任务展示、客服、账户明细和后台配置原型；资金接口只做沙箱与模拟数据。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Heiti SC" w:hAnsi="Heiti SC" w:eastAsia="Heiti SC"/>
        <w:b w:val="0"/>
        <w:color w:val="18202F"/>
        <w:sz w:val="21"/>
      </w:rPr>
      <w:t>移动端任务与账户平台需求文档 V2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iti SC" w:hAnsi="Heiti SC" w:eastAsia="Heiti SC"/>
      <w:color w:val="1820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移动端任务与账户平台需求文档 V2</dc:title>
  <dc:subject>基于后台功能的移动端需求反向校验修订版</dc:subject>
  <dc:creator>Product Requirement Analysis</dc:creator>
  <cp:keywords>需求文档, 移动端, 后台联动, 任务, 资金, 审核, 原型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