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440" w:after="400"/>
        <w:jc w:val="left"/>
        <w:pBdr>
          <w:top w:val="nil"/>
          <w:left w:val="nil"/>
          <w:bottom w:val="nil"/>
          <w:right w:val="nil"/>
          <w:between w:val="nil"/>
        </w:pBdr>
      </w:pPr>
      <w:r>
        <w:rPr>
          <w:rFonts w:ascii="Heiti SC" w:hAnsi="Heiti SC" w:eastAsia="Heiti SC"/>
          <w:b/>
          <w:color w:val="000000"/>
          <w:sz w:val="54"/>
        </w:rPr>
        <w:t>后台管理系统需求文档</w:t>
      </w:r>
    </w:p>
    <w:p>
      <w:pPr>
        <w:spacing w:after="640"/>
      </w:pPr>
      <w:r>
        <w:rPr>
          <w:rFonts w:ascii="Heiti SC" w:hAnsi="Heiti SC" w:eastAsia="Heiti SC"/>
          <w:b/>
          <w:color w:val="000000"/>
          <w:sz w:val="31"/>
        </w:rPr>
        <w:t>参考管理端功能拆解、C 端映射与安全重构方案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目标：基于参考管理系统的实际页面、按钮、链接与弹窗，形成可直接用于产品设计、前后端开发、测试和运维的后台需求基线；保留业务闭环，不复制品牌资产和真实用户数据。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主要读者：产品负责人、交互设计师、前端开发、后端开发、测试、运营、客服、财务、风控、安全与审计。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观察日期：2026-10-07    参考环境：Web 管理后台    文档版本：V1.0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结论：后台覆盖门户配置、会员、交易、商品、任务、RBAC 与个人设置七大域。复刻时应优先修复敏感数据裸露、资金操作单人审批、配置无校验、接口错误和审计不足。</w:t>
      </w:r>
    </w:p>
    <w:p>
      <w:r>
        <w:br w:type="page"/>
      </w:r>
    </w:p>
    <w:p>
      <w:pPr>
        <w:pStyle w:val="Heading1"/>
        <w:spacing w:before="200" w:after="120"/>
      </w:pPr>
      <w:r>
        <w:t>1 文档范围与走查方法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本需求对后台 21 个可见页面入口进行了逐项走查，并打开新增、编辑、查看、分配、审核等代表性弹窗。为了保护现网数据，没有执行最终确定、上传、删除、禁用、设为假人、审核通过或驳回、资金调整、奖励金发放、权限保存和改密。</w:t>
      </w:r>
    </w:p>
    <w:p>
      <w:pPr>
        <w:pStyle w:val="Heading2"/>
        <w:spacing w:before="140" w:after="120"/>
      </w:pPr>
      <w:r>
        <w:t>1.1 已覆盖入口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36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一级模块</w:t>
            </w:r>
          </w:p>
        </w:tc>
        <w:tc>
          <w:tcPr>
            <w:tcW w:type="dxa" w:w="388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24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主要控件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主页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首页、网站设置、文本管理、Banner 设置、手工商城</w:t>
            </w:r>
          </w:p>
        </w:tc>
        <w:tc>
          <w:tcPr>
            <w:tcW w:type="dxa" w:w="42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指标卡、保存、上传、编辑、删除、发布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会员管理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会员列表、会员等级、任务大厅</w:t>
            </w:r>
          </w:p>
        </w:tc>
        <w:tc>
          <w:tcPr>
            <w:tcW w:type="dxa" w:w="42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搜索、新增、编辑、团队、账变、奖励金、等级配置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交易管理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订单、充值、提现、客服</w:t>
            </w:r>
          </w:p>
        </w:tc>
        <w:tc>
          <w:tcPr>
            <w:tcW w:type="dxa" w:w="42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筛选、自动刷新、匹配、凭证、审核、客服嵌入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商城管理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商品列表</w:t>
            </w:r>
          </w:p>
        </w:tc>
        <w:tc>
          <w:tcPr>
            <w:tcW w:type="dxa" w:w="42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搜索、新增、编辑、推荐、删除、富文本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任务管理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任务列表、会员任务审核</w:t>
            </w:r>
          </w:p>
        </w:tc>
        <w:tc>
          <w:tcPr>
            <w:tcW w:type="dxa" w:w="42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任务新增、编辑、通过、驳回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管理员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后台管理员、角色、权限、数据字典</w:t>
            </w:r>
          </w:p>
        </w:tc>
        <w:tc>
          <w:tcPr>
            <w:tcW w:type="dxa" w:w="42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账号、角色、权限树、配置项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设置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基本资料、修改密码</w:t>
            </w:r>
          </w:p>
        </w:tc>
        <w:tc>
          <w:tcPr>
            <w:tcW w:type="dxa" w:w="42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资料修改、密码修改</w:t>
            </w:r>
          </w:p>
        </w:tc>
      </w:tr>
    </w:tbl>
    <w:p/>
    <w:p>
      <w:pPr>
        <w:pStyle w:val="Heading2"/>
        <w:spacing w:before="140" w:after="120"/>
      </w:pPr>
      <w:r>
        <w:t>1.2 操作边界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只验证页面、按钮和弹窗是否可达，未提交会改变会员、资金、权限或配置的数据。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删除、禁用、设为假人、审核、账变、奖励金、改密等高风险入口仅记录需求，不执行最终动作。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原型图基于实测界面脱敏重绘，手机号、姓名、IP、银行卡、订单号均为掩码或虚构值。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接口名称以推荐实现命名；现网真实接口需在开发前通过代码或服务端文档二次核验。</w:t>
      </w:r>
    </w:p>
    <w:p>
      <w:pPr>
        <w:pStyle w:val="Heading2"/>
        <w:spacing w:before="140" w:after="120"/>
      </w:pPr>
      <w:r>
        <w:t>1.3 证据等级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15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等级</w:t>
            </w:r>
          </w:p>
        </w:tc>
        <w:tc>
          <w:tcPr>
            <w:tcW w:type="dxa" w:w="475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360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使用方式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 实测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页面、按钮、表格或弹窗在走查中直接可见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可作为复刻基线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B 推导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由相邻页面、C 端闭环或字段关系推导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开发前需确认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C 建议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为安全、合规、可用性提出的重构要求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作为新系统强制规范</w:t>
            </w:r>
          </w:p>
        </w:tc>
      </w:tr>
    </w:tbl>
    <w:p/>
    <w:p>
      <w:pPr>
        <w:pStyle w:val="Heading1"/>
        <w:spacing w:before="200" w:after="120"/>
      </w:pPr>
      <w:r>
        <w:t>2 产品定位与后台角色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该后台用于运营一个移动端会员任务与账户平台。C 端会员进行注册、余额储入、领取订单、任务提交、佣金结算、提现和客服咨询；后台完成内容配置、会员治理、商品与任务配置、交易审核、财务对账和权限审计。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29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角色</w:t>
            </w:r>
          </w:p>
        </w:tc>
        <w:tc>
          <w:tcPr>
            <w:tcW w:type="dxa" w:w="237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职责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允许范围</w:t>
            </w:r>
          </w:p>
        </w:tc>
        <w:tc>
          <w:tcPr>
            <w:tcW w:type="dxa" w:w="32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禁止范围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超级管理员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系统与权限治理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账号、角色、权限、系统参数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不得绕过双人复核直接放款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运营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内容、Banner、商品、任务、等级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草稿、预览、发布申请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不得查看完整银行卡或改余额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客服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会员与订单查询、工单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脱敏资料、只读订单、备注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不得资金审核或导出全量用户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财务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充值、提现、对账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凭证、审核、支付状态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不得修改会员身份与权限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风控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异常行为与冻结复核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设备、IP 风险、冻结申请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不得单人完成冻结与解冻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审计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只读复核与导出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日志、审批链、差异报表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不得修改业务数据</w:t>
            </w:r>
          </w:p>
        </w:tc>
      </w:tr>
    </w:tbl>
    <w:p/>
    <w:p>
      <w:pPr>
        <w:pStyle w:val="Heading2"/>
        <w:spacing w:before="140" w:after="120"/>
      </w:pPr>
      <w:r>
        <w:t>2.1 信息架构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采用“一级业务域 + 二级页面 + 多标签工作区”的桌面后台结构。一级菜单固定在左侧，二级页面以标签页打开；标签支持关闭、刷新和回到首页。任何页面刷新后，应保持当前路由但不保留未提交敏感表单。</w:t>
      </w:r>
    </w:p>
    <w:p>
      <w:pPr>
        <w:pStyle w:val="Heading2"/>
        <w:spacing w:before="140" w:after="120"/>
      </w:pPr>
      <w:r>
        <w:t>2.2 全局交互规范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列表页统一：查询区、主操作区、表格、固定操作列、分页；查询条件可重置并写入 URL。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弹窗统一：标题、关闭、表单、确定、取消；确定前做前后端双重校验，提交后禁止重复点击。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危险操作使用红色按钮并要求对象、影响、理由和二次确认；资金与权限操作额外要求复核人。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敏感值默认脱敏；查看完整值需单独权限、再次确认、限定时长，并记录操作者、目标、时间和用途。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加载超过 2 秒展示骨架与取消，接口失败展示错误码、重试和上报入口，不长期停留空白页。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操作成功后提供结果提示与审计编号；失败不得只显示“error”。</w:t>
      </w:r>
    </w:p>
    <w:p>
      <w:pPr>
        <w:pStyle w:val="Heading1"/>
        <w:spacing w:before="200" w:after="120"/>
      </w:pPr>
      <w:r>
        <w:t>3 C 端与后台功能映射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后台不是独立工具，其配置和操作必须能解释 C 端每个入口、状态和金额。以下矩阵为联调的单一事实源。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72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C 端能力</w:t>
            </w:r>
          </w:p>
        </w:tc>
        <w:tc>
          <w:tcPr>
            <w:tcW w:type="dxa" w:w="180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后台来源</w:t>
            </w:r>
          </w:p>
        </w:tc>
        <w:tc>
          <w:tcPr>
            <w:tcW w:type="dxa" w:w="33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后台操作</w:t>
            </w:r>
          </w:p>
        </w:tc>
        <w:tc>
          <w:tcPr>
            <w:tcW w:type="dxa" w:w="259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一致性要求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首页横幅与快捷入口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Banner、网站设置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排序、有效期、跳转、开关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发布后按版本生效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平台简介/规则/公告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文本管理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富文本编辑、预览、发布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CSP 与 HTML 白名单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手工商城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手工商城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商品增删改、图片、价格、时间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C 端仅显示已上架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会员等级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会员等级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门槛、赠送、次数、佣金、提现次数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计算与展示同源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领取中心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网站设置、商品、订单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营业时间、最低余额、匹配规则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服务端状态机判定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订单记录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订单列表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查询、冻结、匹配、异常处理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业务单号和台账可追溯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储入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充值管理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凭证、审核、入账、驳回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幂等入账与自动对账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取出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提现管理、银行卡信息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收款资料、审核、通道、结果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金额、手续费、到账同源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任务大厅与任务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任务大厅、任务列表、会员任务审核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配置、分发、审核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等级、佣金、状态一致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个人资料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会员列表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资料、团队、状态、风控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敏感字段默认脱敏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通知与弹幕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文本、会员弹幕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发布、定向、撤回、查看记录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真实性标识和审计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客服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客服管理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客服入口、工作时间、会话映射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失败有备用通道</w:t>
            </w:r>
          </w:p>
        </w:tc>
      </w:tr>
    </w:tbl>
    <w:p/>
    <w:p>
      <w:pPr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6126480" cy="34461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6_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1  C 端与后台业务闭环（脱敏重绘原型）</w:t>
      </w:r>
    </w:p>
    <w:p>
      <w:r>
        <w:br w:type="page"/>
      </w:r>
    </w:p>
    <w:p>
      <w:pPr>
        <w:pStyle w:val="Heading1"/>
        <w:spacing w:before="200" w:after="120"/>
      </w:pPr>
      <w:r>
        <w:t>4 首页数据看板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首页展示用户、商品、订单、充值、提现、佣金、利息宝转入、下级返佣与账户余额等汇总卡，并展示微信、支付宝和银行卡渠道统计。新系统应把口径、时间区间、刷新时间和数据延迟显式化。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72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指标</w:t>
            </w:r>
          </w:p>
        </w:tc>
        <w:tc>
          <w:tcPr>
            <w:tcW w:type="dxa" w:w="367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252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筛选维度</w:t>
            </w:r>
          </w:p>
        </w:tc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权限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用户总量/新增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去重有效会员数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今日、昨日、自定义日期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运营只读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充值用户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至少一笔成功充值的会员数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时间、渠道、等级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财务/运营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订单量与金额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按订单状态和完成时间统计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状态、商品、等级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运营/财务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充值/提现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成功与待处理金额分开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渠道、状态、时间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财务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佣金/返佣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任务佣金与层级返佣分开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类型、等级、时间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财务/审计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账户余额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钱包可用与冻结余额总和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币种、账户状态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财务/审计</w:t>
            </w:r>
          </w:p>
        </w:tc>
      </w:tr>
    </w:tbl>
    <w:p/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卡片可点击进入对应明细页，并继承时间筛选；无权限用户只能看到隐藏金额或不可点击状态。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页面顶部展示“数据截至时间”和刷新按钮；自动刷新不得造成重复请求风暴。</w:t>
      </w:r>
    </w:p>
    <w:p>
      <w:pPr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6126480" cy="34461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1_dashboar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2  后台首页看板（按实测界面脱敏重绘）</w:t>
      </w:r>
    </w:p>
    <w:p>
      <w:pPr>
        <w:pStyle w:val="Heading1"/>
        <w:spacing w:before="200" w:after="120"/>
      </w:pPr>
      <w:r>
        <w:t>5 门户、内容与 Banner 管理</w:t>
      </w:r>
    </w:p>
    <w:p>
      <w:pPr>
        <w:pStyle w:val="Heading2"/>
        <w:spacing w:before="140" w:after="120"/>
      </w:pPr>
      <w:r>
        <w:t>5.1 网站设置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2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配置组</w:t>
            </w:r>
          </w:p>
        </w:tc>
        <w:tc>
          <w:tcPr>
            <w:tcW w:type="dxa" w:w="381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字段</w:t>
            </w:r>
          </w:p>
        </w:tc>
        <w:tc>
          <w:tcPr>
            <w:tcW w:type="dxa" w:w="446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要求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品牌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Logo、站点名称、隐私政策 URL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Logo 可预览；URL 仅允许 HTTPS 白名单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交易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交易余额、等待时间、每日次数、奖励次数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数值范围校验；修改按版本发布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佣金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0–5 级普通佣金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Decimal；总和上限；法务开关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时间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提现、充值、交易、签到时间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支持多区间；禁止结束早于开始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门槛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最低充值、自动派单时间与金额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最小值≤最大值；币种与单位清晰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开关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免费领取、手工商城、首页任务、签到、商品模式、验证码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每项写明 C 端影响和降级文案</w:t>
            </w:r>
          </w:p>
        </w:tc>
      </w:tr>
    </w:tbl>
    <w:p/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实测问题：交易等待时间输入框提示语与字段无关；签到时段出现“18:00–17:00”反向区间。新系统保存前必须做语义校验，并支持草稿、预览、发布、回滚。</w:t>
      </w:r>
    </w:p>
    <w:p>
      <w:pPr>
        <w:pStyle w:val="Heading2"/>
        <w:spacing w:before="140" w:after="120"/>
      </w:pPr>
      <w:r>
        <w:t>5.2 文本管理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内容类型包括平台公告、平台简介、订单规则、代理合作、FAQ、指南、利息宝规则、首页滚动、订单提示、活动、首页弹窗和公司资质。编辑器需支持标题、正文、图片、链接、预览、定时发布、版本和回滚。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富文本使用标签/属性白名单；禁止 script、事件属性、javascript: URL 和未知 iframe。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现网编辑弹窗标题错误显示“编辑商品”，新系统标题必须与内容类型一致。</w:t>
      </w:r>
    </w:p>
    <w:p>
      <w:pPr>
        <w:pStyle w:val="Heading2"/>
        <w:spacing w:before="140" w:after="120"/>
      </w:pPr>
      <w:r>
        <w:t>5.3 Banner 设置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支持多张首页 Banner 的上传、删除、排序、上下线、有效期、跳转类型与替代文本。上传前预览并校验尺寸、比例、MIME、文件大小和恶意内容。删除需要二次确认，已发布素材优先下线而非物理删除。</w:t>
      </w:r>
    </w:p>
    <w:p>
      <w:pPr>
        <w:pStyle w:val="Heading2"/>
        <w:spacing w:before="140" w:after="120"/>
      </w:pPr>
      <w:r>
        <w:t>5.4 手工商城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列表字段为图片、名称、价格、时间与操作；新增/编辑字段为产品名称、价格、图片与展示时间。现网新增弹窗曾长时间停留 loading，需增加 8 秒超时、重试和错误上报。</w:t>
      </w:r>
    </w:p>
    <w:p>
      <w:r>
        <w:br w:type="page"/>
      </w:r>
    </w:p>
    <w:p>
      <w:pPr>
        <w:pStyle w:val="Heading1"/>
        <w:spacing w:before="200" w:after="120"/>
      </w:pPr>
      <w:r>
        <w:t>6 会员管理</w:t>
      </w:r>
    </w:p>
    <w:p>
      <w:pPr>
        <w:pStyle w:val="Heading2"/>
        <w:spacing w:before="140" w:after="120"/>
      </w:pPr>
      <w:r>
        <w:t>6.1 会员列表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查询条件：用户名、手机号、注册时间、状态、自动派单。列表字段：ID、账号、绑卡姓名、用户名、账户余额、冻结金额、上级用户、邀请码、注册时间、最后登录 IP、IP 属地、自动抢单、状态、当日交易次数。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2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操作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页面或弹窗</w:t>
            </w:r>
          </w:p>
        </w:tc>
        <w:tc>
          <w:tcPr>
            <w:tcW w:type="dxa" w:w="33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关键校验</w:t>
            </w:r>
          </w:p>
        </w:tc>
        <w:tc>
          <w:tcPr>
            <w:tcW w:type="dxa" w:w="259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审计要求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添加/编辑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会员表单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手机号唯一；余额不可由普通编辑修改；密码强度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记录前后值，密码永不回显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银行卡信息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开户人、银行、电话、卡号、数字钱包、云闪付、收款码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必要性与格式；图片扫描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完整值查看留痕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地址信息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姓名、电话、地区、详细地址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最小化收集；字段脱敏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查看和修改留痕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查看团队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当前用户、层级、人数、余额、佣金、充值、提现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仅展示授权层级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导出单独授权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账变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余额调整或流水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金额、类型、理由、业务单号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双人复核；不可直接改余额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弹幕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会员定向或模拟内容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标注来源、有效期、撤回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禁止伪造真实用户行为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奖励金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奖励金额与原因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非负、额度、幂等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财务复核与凭证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设为假人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账号标记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不得混入真实统计或 C 端荣誉榜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仅测试环境默认启用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禁用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账号状态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理由、范围、时长、申诉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双人复核；通知用户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删除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软删除/注销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检查资金与订单；不可物理删台账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高风险二次确认</w:t>
            </w:r>
          </w:p>
        </w:tc>
      </w:tr>
    </w:tbl>
    <w:p/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P0：现网页面默认显示完整手机号、姓名与登录 IP。新系统必须默认脱敏，按角色和目的临时授权查看；列表、导出、日志、埋点和截图统一执行同一脱敏规则。</w:t>
      </w:r>
    </w:p>
    <w:p>
      <w:pPr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6126480" cy="344614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2_member_lis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3  会员列表脱敏原型</w:t>
      </w:r>
    </w:p>
    <w:p>
      <w:pPr>
        <w:pageBreakBefore/>
        <w:spacing w:before="360"/>
        <w:jc w:val="center"/>
      </w:pPr>
      <w:r>
        <w:drawing>
          <wp:inline xmlns:a="http://schemas.openxmlformats.org/drawingml/2006/main" xmlns:pic="http://schemas.openxmlformats.org/drawingml/2006/picture">
            <wp:extent cx="6126480" cy="344614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3_member_mod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4  添加会员弹窗原型</w:t>
      </w:r>
    </w:p>
    <w:p>
      <w:r>
        <w:br w:type="page"/>
      </w:r>
    </w:p>
    <w:p>
      <w:pPr>
        <w:pStyle w:val="Heading1"/>
        <w:spacing w:before="200" w:after="120"/>
      </w:pPr>
      <w:r>
        <w:t>7 会员等级与任务大厅</w:t>
      </w:r>
    </w:p>
    <w:p>
      <w:pPr>
        <w:pStyle w:val="Heading2"/>
        <w:spacing w:before="140" w:after="120"/>
      </w:pPr>
      <w:r>
        <w:t>7.1 会员等级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列表字段为等级名称、升级价格、赠送金额、接单次数、佣金比例和提现次数；支持编辑与受控删除。等级配置直接影响 C 端充值、领取和提现，必须使用版本化发布，不得修改后立即影响进行中的订单。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208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规则</w:t>
            </w:r>
          </w:p>
        </w:tc>
        <w:tc>
          <w:tcPr>
            <w:tcW w:type="dxa" w:w="381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校验</w:t>
            </w:r>
          </w:p>
        </w:tc>
        <w:tc>
          <w:tcPr>
            <w:tcW w:type="dxa" w:w="360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生效策略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升级价格/赠送金额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≥0；货币精度；赠送比例上限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新会员或下个结算周期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接单次数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整数；按日重置时区明确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发布后次日生效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佣金比例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0–1 Decimal；展示百分比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锁定到任务订单快照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提现次数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整数；与提现时间窗一致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发布后次日生效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删除等级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无有效会员与在途订单方可删除</w:t>
            </w:r>
          </w:p>
        </w:tc>
        <w:tc>
          <w:tcPr>
            <w:tcW w:type="dxa" w:w="36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优先停用并保留历史</w:t>
            </w:r>
          </w:p>
        </w:tc>
      </w:tr>
    </w:tbl>
    <w:p/>
    <w:p>
      <w:pPr>
        <w:pStyle w:val="Heading2"/>
        <w:spacing w:before="140" w:after="120"/>
      </w:pPr>
      <w:r>
        <w:t>7.2 任务大厅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页面字段为名称、图标、比例、简介、创建时间；新增弹窗还包含会员等级。实测列表接口直接显示“数据接口请求异常：error”，但新增弹窗可打开。新系统需要标准错误码、可重试状态、traceId 与空数据区分。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任务大厅条目必须绑定可用会员等级、比例单位、图标和 C 端跳转。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停用条目不影响已领取任务；删除仅允许无历史引用的数据，建议统一软删除。</w:t>
      </w:r>
    </w:p>
    <w:p>
      <w:r>
        <w:br w:type="page"/>
      </w:r>
    </w:p>
    <w:p>
      <w:pPr>
        <w:pStyle w:val="Heading1"/>
        <w:spacing w:before="200" w:after="120"/>
      </w:pPr>
      <w:r>
        <w:t>8 交易管理</w:t>
      </w:r>
    </w:p>
    <w:p>
      <w:pPr>
        <w:pStyle w:val="Heading2"/>
        <w:spacing w:before="140" w:after="120"/>
      </w:pPr>
      <w:r>
        <w:t>8.1 订单列表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查询条件：订单号、手机号、用户名、日期；支持开启/关闭自动刷新。列表含绑卡姓名、用户名、自动派单、余额、手机号、当日交易次数、商品、数量、金额、佣金、下单时间、解冻时间、消息、订单状态、冻结状态和操作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状态</w:t>
            </w:r>
          </w:p>
        </w:tc>
        <w:tc>
          <w:tcPr>
            <w:tcW w:type="dxa" w:w="316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后台操作</w:t>
            </w:r>
          </w:p>
        </w:tc>
        <w:tc>
          <w:tcPr>
            <w:tcW w:type="dxa" w:w="48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约束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匹配中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查看进度、取消匹配</w:t>
            </w:r>
          </w:p>
        </w:tc>
        <w:tc>
          <w:tcPr>
            <w:tcW w:type="dxa" w:w="48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同一会员仅一笔匹配；需幂等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待处理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查看详情、发送提醒</w:t>
            </w:r>
          </w:p>
        </w:tc>
        <w:tc>
          <w:tcPr>
            <w:tcW w:type="dxa" w:w="48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不可手动完成；服务端倒计时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冻结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查看风险、发起解冻复核</w:t>
            </w:r>
          </w:p>
        </w:tc>
        <w:tc>
          <w:tcPr>
            <w:tcW w:type="dxa" w:w="48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冻结理由、时长、申诉路径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已完成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查看台账</w:t>
            </w:r>
          </w:p>
        </w:tc>
        <w:tc>
          <w:tcPr>
            <w:tcW w:type="dxa" w:w="48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金额、佣金、解冻三方一致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异常/失败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重新匹配、人工处理申请</w:t>
            </w:r>
          </w:p>
        </w:tc>
        <w:tc>
          <w:tcPr>
            <w:tcW w:type="dxa" w:w="48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人工改状态必须双人审批</w:t>
            </w:r>
          </w:p>
        </w:tc>
      </w:tr>
    </w:tbl>
    <w:p/>
    <w:p>
      <w:pPr>
        <w:pStyle w:val="Heading2"/>
        <w:spacing w:before="140" w:after="120"/>
      </w:pPr>
      <w:r>
        <w:t>8.2 充值管理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顶部展示全部、用户已支付、用户未支付、手动审核、手动驳回等汇总金额。列表字段：订单号、真实姓名、手机号、余额、交易金额、打款凭证、添加时间、支付方式、类型、处理时间、备注和操作。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审核通过前校验凭证、订单金额、收款主体、重复订单和账户状态；入账使用幂等键。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驳回必须选择标准原因并可补充说明；通知 C 端且允许补充材料。</w:t>
      </w:r>
    </w:p>
    <w:p>
      <w:pPr>
        <w:pStyle w:val="Heading2"/>
        <w:spacing w:before="140" w:after="120"/>
      </w:pPr>
      <w:r>
        <w:t>8.3 提现管理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查询条件：订单号、用户名、日期。列表含用户余额、提现金额、手续费、实际到账、银行名称、开户名称、银行卡号、云闪付、数字钱包、支付宝/微信收款码、发起与处理时间、操作。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P0：现网直接显示完整银行卡号与多个钱包账号。新系统列表只显示掩码，完整值不进入普通 DOM；付款处理时通过一次性授权查看，超时自动隐藏。</w:t>
      </w:r>
    </w:p>
    <w:p>
      <w:pPr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6126480" cy="34461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4_withdrawa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5  提现审核脱敏原型</w:t>
      </w:r>
    </w:p>
    <w:p>
      <w:pPr>
        <w:pStyle w:val="Heading2"/>
        <w:spacing w:before="140" w:after="120"/>
      </w:pPr>
      <w:r>
        <w:t>8.4 客服管理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实测页面在加载后保持空白。新系统至少提供客服账号、名称、工作时间、在线状态、跳转 URL、排序、启停和会话映射；第三方 iframe 失败时显示备用联系方式和错误编号。</w:t>
      </w:r>
    </w:p>
    <w:p>
      <w:r>
        <w:br w:type="page"/>
      </w:r>
    </w:p>
    <w:p>
      <w:pPr>
        <w:pStyle w:val="Heading1"/>
        <w:spacing w:before="200" w:after="120"/>
      </w:pPr>
      <w:r>
        <w:t>9 商品与任务管理</w:t>
      </w:r>
    </w:p>
    <w:p>
      <w:pPr>
        <w:pStyle w:val="Heading2"/>
        <w:spacing w:before="140" w:after="120"/>
      </w:pPr>
      <w:r>
        <w:t>9.1 商品列表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查询条件：商品名称、支付类型。列表：ID、图片、名称、商品价格、店铺名称、创建时间、是否推荐、操作。新增/编辑字段：商品名称、分类、店铺名称、商品单价、展示图片、商品详情富文本。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推荐/不推荐为明确状态切换，提交前展示影响范围；列表筛选和 C 端排序一致。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价格采用 Decimal；图片与富文本执行内容安全校验；商品被订单引用后只允许停用。</w:t>
      </w:r>
    </w:p>
    <w:p>
      <w:pPr>
        <w:pStyle w:val="Heading2"/>
        <w:spacing w:before="140" w:after="120"/>
      </w:pPr>
      <w:r>
        <w:t>9.2 任务列表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按会员类型筛选；字段为任务编号、封面、标题、描述、等级、佣金、创建时间。新增弹窗含标题、描述、封面、等级、佣金和详情。实测新增任务弹窗标题误用“添加大厅任务”，需修正。</w:t>
      </w:r>
    </w:p>
    <w:p>
      <w:pPr>
        <w:pStyle w:val="Heading2"/>
        <w:spacing w:before="140" w:after="120"/>
      </w:pPr>
      <w:r>
        <w:t>9.3 会员任务审核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按手机号、用户名查询；列表含记录 ID、用户名、手机、任务标题、等级、佣金、成功率、状态、备注、创建时间和操作。待审核记录支持通过与驳回。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29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动作</w:t>
            </w:r>
          </w:p>
        </w:tc>
        <w:tc>
          <w:tcPr>
            <w:tcW w:type="dxa" w:w="33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前置条件</w:t>
            </w:r>
          </w:p>
        </w:tc>
        <w:tc>
          <w:tcPr>
            <w:tcW w:type="dxa" w:w="316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提交内容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结果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通过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任务存在、会员有效、未重复审核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审核意见、证据摘要、幂等键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发放佣金或进入结算队列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驳回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记录为待审核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标准原因、补充说明、是否允许重提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通知会员并保留证据</w:t>
            </w:r>
          </w:p>
        </w:tc>
      </w:tr>
      <w:tr>
        <w:trPr>
          <w:cantSplit/>
        </w:trPr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撤回审核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仅异常且未结算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变更单与复核人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冲正而非修改历史记录</w:t>
            </w:r>
          </w:p>
        </w:tc>
      </w:tr>
    </w:tbl>
    <w:p/>
    <w:p>
      <w:r>
        <w:br w:type="page"/>
      </w:r>
    </w:p>
    <w:p>
      <w:pPr>
        <w:pStyle w:val="Heading1"/>
        <w:spacing w:before="200" w:after="120"/>
      </w:pPr>
      <w:r>
        <w:t>10 管理员、角色与权限</w:t>
      </w:r>
    </w:p>
    <w:p>
      <w:pPr>
        <w:pStyle w:val="Heading2"/>
        <w:spacing w:before="140" w:after="120"/>
      </w:pPr>
      <w:r>
        <w:t>10.1 后台管理员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查询条件为登录名、手机、邮箱、角色；列表含姓名、登录名、手机号、邮箱、角色、更新时间和创建时间。新增字段为姓名、用户名、密码、手机、邮箱和多选角色。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密码强度至少 12 位，禁止默认密码，首次登录强制改密；密码永不回显。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禁用优先于删除；删除账号时保留历史审计主体，不得影响日志可追溯性。</w:t>
      </w:r>
    </w:p>
    <w:p>
      <w:pPr>
        <w:pStyle w:val="Heading2"/>
        <w:spacing w:before="140" w:after="120"/>
      </w:pPr>
      <w:r>
        <w:t>10.2 角色管理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角色列表支持新增、编辑、删除和分配权限。分配弹窗为可展开/折叠的权限树。保存权限属于高风险操作，必须展示新增与移除差异，并由另一名管理员复核。</w:t>
      </w:r>
    </w:p>
    <w:p>
      <w:pPr>
        <w:pStyle w:val="Heading2"/>
        <w:spacing w:before="140" w:after="120"/>
      </w:pPr>
      <w:r>
        <w:t>10.3 权限管理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权限树字段为 ID、名称、权限标识、父级 ID 和操作；支持添加顶级权限、添加子级、编辑、删除、展开/折叠。权限标识唯一且不可随意改名；被角色引用时禁止删除。</w:t>
      </w:r>
    </w:p>
    <w:p>
      <w:pPr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6126480" cy="344614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5_rba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6  建议 RBAC 权限矩阵</w:t>
      </w:r>
    </w:p>
    <w:p>
      <w:r>
        <w:br w:type="page"/>
      </w:r>
    </w:p>
    <w:p>
      <w:pPr>
        <w:pStyle w:val="Heading1"/>
        <w:spacing w:before="200" w:after="120"/>
      </w:pPr>
      <w:r>
        <w:t>11 数据字典与个人设置</w:t>
      </w:r>
    </w:p>
    <w:p>
      <w:pPr>
        <w:pStyle w:val="Heading2"/>
        <w:spacing w:before="140" w:after="120"/>
      </w:pPr>
      <w:r>
        <w:t>11.1 数据字典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列表字段为 ID、名称、值、创建时间；支持新增、编辑、删除。现网同时存在英文 key、中文名称和缺失名称的条目，并与网站设置重复维护。建议将字典拆为“系统常量”和“业务配置”，以结构化 Schema 管理。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187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字段</w:t>
            </w:r>
          </w:p>
        </w:tc>
        <w:tc>
          <w:tcPr>
            <w:tcW w:type="dxa" w:w="748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要求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key</w:t>
            </w:r>
          </w:p>
        </w:tc>
        <w:tc>
          <w:tcPr>
            <w:tcW w:type="dxa" w:w="74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全局唯一；小写或大写规范统一；发布后不可改名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value</w:t>
            </w:r>
          </w:p>
        </w:tc>
        <w:tc>
          <w:tcPr>
            <w:tcW w:type="dxa" w:w="74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按 Schema 校验类型、范围、枚举、时间段和单位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description</w:t>
            </w:r>
          </w:p>
        </w:tc>
        <w:tc>
          <w:tcPr>
            <w:tcW w:type="dxa" w:w="74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必填，说明业务含义、C 端影响和默认值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scope</w:t>
            </w:r>
          </w:p>
        </w:tc>
        <w:tc>
          <w:tcPr>
            <w:tcW w:type="dxa" w:w="74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环境、租户、渠道、会员等级等作用域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version</w:t>
            </w:r>
          </w:p>
        </w:tc>
        <w:tc>
          <w:tcPr>
            <w:tcW w:type="dxa" w:w="74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草稿、已发布、已回滚；记录生效时间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secret</w:t>
            </w:r>
          </w:p>
        </w:tc>
        <w:tc>
          <w:tcPr>
            <w:tcW w:type="dxa" w:w="74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敏感配置不得明文显示，使用密钥管理系统</w:t>
            </w:r>
          </w:p>
        </w:tc>
      </w:tr>
    </w:tbl>
    <w:p/>
    <w:p>
      <w:pPr>
        <w:pStyle w:val="Heading2"/>
        <w:spacing w:before="140" w:after="120"/>
      </w:pPr>
      <w:r>
        <w:t>11.2 基本资料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字段为用户名（不可修改）、名称、手机、邮箱，提交按钮为“确认修改”。修改手机或邮箱需验证当前身份和新联系方式；成功后记录审计并通知原联系方式。</w:t>
      </w:r>
    </w:p>
    <w:p>
      <w:pPr>
        <w:pStyle w:val="Heading2"/>
        <w:spacing w:before="140" w:after="120"/>
      </w:pPr>
      <w:r>
        <w:t>11.3 修改密码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字段为当前密码、新密码、确认新密码，现网提示 6–16 个字符。新系统建议至少 12 位并支持密码管理器；最终提交必须由用户本人完成，成功后撤销其他会话并发送安全通知。</w:t>
      </w:r>
    </w:p>
    <w:p>
      <w:r>
        <w:br w:type="page"/>
      </w:r>
    </w:p>
    <w:p>
      <w:pPr>
        <w:pStyle w:val="Heading1"/>
        <w:spacing w:before="200" w:after="120"/>
      </w:pPr>
      <w:r>
        <w:t>12 状态机与数据模型</w:t>
      </w:r>
    </w:p>
    <w:p>
      <w:pPr>
        <w:pStyle w:val="Heading2"/>
        <w:spacing w:before="140" w:after="120"/>
      </w:pPr>
      <w:r>
        <w:t>12.1 核心状态机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实体</w:t>
            </w:r>
          </w:p>
        </w:tc>
        <w:tc>
          <w:tcPr>
            <w:tcW w:type="dxa" w:w="352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状态</w:t>
            </w:r>
          </w:p>
        </w:tc>
        <w:tc>
          <w:tcPr>
            <w:tcW w:type="dxa" w:w="446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允许转换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会员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正常、受限、禁用、注销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正常→受限/禁用；复核后恢复；注销不可逆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订单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匹配中、待处理、处理中、完成、超时、冻结、取消、失败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仅服务端状态机转换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充值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待支付、待审核、成功、驳回、过期、取消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成功后只允许冲正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提现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待审核、复核中、处理中、成功、失败、驳回、取消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付款前可取消；成功后只允许冲正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任务审核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待审核、通过、驳回、已结算、已冲正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结算后不可回到待审核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内容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草稿、待审、已发布、已下线、已归档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发布需审批；可回滚版本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配置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草稿、待发布、已发布、已回滚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发布后生成不可变版本</w:t>
            </w:r>
          </w:p>
        </w:tc>
      </w:tr>
    </w:tbl>
    <w:p/>
    <w:p>
      <w:pPr>
        <w:pStyle w:val="Heading2"/>
        <w:spacing w:before="140" w:after="120"/>
      </w:pPr>
      <w:r>
        <w:t>12.2 核心实体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65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实体</w:t>
            </w:r>
          </w:p>
        </w:tc>
        <w:tc>
          <w:tcPr>
            <w:tcW w:type="dxa" w:w="50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关键字段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约束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AdminUser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id, loginName, roles, status, mfa, lastLogin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管理员身份与会话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Role/Permission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roleId, permissionKey, scope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最小权限与数据范围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Member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id, mobileEnc, nameEnc, levelId, status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敏感字段加密、索引分离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Wallet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available, frozen, currency, version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只允许台账事务修改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LedgerEntry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bizNo, type, amount, before, after, reversalOf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不可变、幂等、可冲正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Order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orderNo, memberId, productSnapshot, amount, commission, status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保存规则快照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Deposit/Withdrawal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bizNo, amount, fee, channel, status, reviewer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审批链与支付回执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Content/Banner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type, body, version, publishAt, operator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预览与版本化发布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ConfigVersion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key, value, schema, effectiveAt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语义校验与回滚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5"/>
              </w:rPr>
              <w:t>AuditLog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actor, action, target, before, after, reason, traceId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5"/>
              </w:rPr>
              <w:t>防篡改与长期留存</w:t>
            </w:r>
          </w:p>
        </w:tc>
      </w:tr>
    </w:tbl>
    <w:p/>
    <w:p>
      <w:r>
        <w:br w:type="page"/>
      </w:r>
    </w:p>
    <w:p>
      <w:pPr>
        <w:pStyle w:val="Heading1"/>
        <w:spacing w:before="200" w:after="120"/>
      </w:pPr>
      <w:r>
        <w:t>13 推荐接口清单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接口为新系统建议设计，统一前缀 /admin-api/v1。响应包含 data、code、message、traceId；所有写接口必须携带 Idempotency-Key，资金与权限写操作同时携带审批单号。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79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方法</w:t>
            </w:r>
          </w:p>
        </w:tc>
        <w:tc>
          <w:tcPr>
            <w:tcW w:type="dxa" w:w="33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路径</w:t>
            </w:r>
          </w:p>
        </w:tc>
        <w:tc>
          <w:tcPr>
            <w:tcW w:type="dxa" w:w="252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用途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关键参数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/dashboard/summary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首页指标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timeRange, dimensions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GET/PUT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/site-settings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读取/保存站点配置草稿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version, settings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/site-settings/publish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发布配置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draftVersion, reason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/contents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内容列表/新建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type, status, body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/contents/{id}/publish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内容发布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publishAt, approver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/banners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Banner 查询/新建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imageAssetId, sort, target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/members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会员查询/新建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filters, profile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GET/PATCH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/members/{id}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会员详情/编辑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editableProfile, version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/members/{id}/adjustment-requests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账变申请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type, amount, reason, evidence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/members/{id}/status-requests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禁用/解禁申请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targetStatus, reason, duration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/member-levels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等级查询/草稿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rules, effectiveAt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/products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商品查询/新建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category, price, assets, detail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/tasks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任务查询/新建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levelIds, commission, detail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/orders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订单列表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orderNo, member, status, timeRange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/orders/{id}/exception-requests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异常处理申请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action, reason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/deposits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充值列表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status, channel, timeRange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/deposits/{id}/review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充值审核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decision, reason, version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/withdrawals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提现列表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status, member, timeRange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/withdrawals/{id}/review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提现审核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decision, reason, version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/withdrawals/{id}/sensitive-view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一次性查看收款信息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purpose, challengeToken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/task-submissions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任务审核列表/决定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decision, reason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/admin-users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管理员查询/新建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profile, roleIds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/roles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角色查询/新建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name, scope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/roles/{id}/permission-change-requests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权限变更申请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add, remove, reason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33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/audit-logs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审计查询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actor, action, target, timeRange</w:t>
            </w:r>
          </w:p>
        </w:tc>
      </w:tr>
    </w:tbl>
    <w:p/>
    <w:p>
      <w:r>
        <w:br w:type="page"/>
      </w:r>
    </w:p>
    <w:p>
      <w:pPr>
        <w:pStyle w:val="Heading1"/>
        <w:spacing w:before="200" w:after="120"/>
      </w:pPr>
      <w:r>
        <w:t>14 安全、隐私与审计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风险</w:t>
            </w:r>
          </w:p>
        </w:tc>
        <w:tc>
          <w:tcPr>
            <w:tcW w:type="dxa" w:w="237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现网表现</w:t>
            </w:r>
          </w:p>
        </w:tc>
        <w:tc>
          <w:tcPr>
            <w:tcW w:type="dxa" w:w="432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新系统要求</w:t>
            </w:r>
          </w:p>
        </w:tc>
        <w:tc>
          <w:tcPr>
            <w:tcW w:type="dxa" w:w="93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优先级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个人信息裸露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完整手机号、姓名、IP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默认脱敏；临时授权；全链路审计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金融信息裸露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完整银行卡与钱包账号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应用层加密；非 DOM 展示；一次性查看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资金单人操作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通过/驳回、账变、奖励入口直接可达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职责分离、双人复核、额度和幂等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伪造行为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设为假人、弹幕入口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测试数据隔离；禁止混入真实榜单与统计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富文本 XSS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商品与内容支持富文本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白名单、CSP、上传扫描、预览隔离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配置误发布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时间反向、字段提示错误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Schema 校验、预览、审批、回滚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接口不可用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任务大厅 error、客服空白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错误码、重试、熔断、监控和降级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权限漂移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多角色与权限树直接保存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差异预览、审批、定期复核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</w:tbl>
    <w:p/>
    <w:p>
      <w:pPr>
        <w:pStyle w:val="Heading2"/>
        <w:spacing w:before="140" w:after="120"/>
      </w:pPr>
      <w:r>
        <w:t>14.1 审计日志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记录登录、查看敏感信息、导出、查询大范围数据、资金审核、账变、奖励、冻结、配置发布、权限变更和改密。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字段至少包含操作者、角色、MFA、目标、动作、前值、后值、理由、审批人、IP、设备、traceId、时间和结果。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日志写入独立存储并防篡改；业务管理员无删除权限；按监管与公司政策设定留存期。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导出文件水印、加密、限时下载；下载与转发均可追踪。</w:t>
      </w:r>
    </w:p>
    <w:p>
      <w:pPr>
        <w:pStyle w:val="Heading2"/>
        <w:spacing w:before="140" w:after="120"/>
      </w:pPr>
      <w:r>
        <w:t>14.2 登录与会话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管理员必须启用 MFA；高风险动作触发再次认证。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闲置 15–30 分钟自动锁定；会话撤销、设备列表和异地登录提醒。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连续失败触发限流与告警；不得依赖前端验证码作为唯一防护。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服务端密码使用 Argon2id 或 bcrypt；任何日志、监控和前端状态都不得保存密码。</w:t>
      </w:r>
    </w:p>
    <w:p>
      <w:pPr>
        <w:pStyle w:val="Heading1"/>
        <w:spacing w:before="200" w:after="120"/>
      </w:pPr>
      <w:r>
        <w:t>15 非功能需求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类别</w:t>
            </w:r>
          </w:p>
        </w:tc>
        <w:tc>
          <w:tcPr>
            <w:tcW w:type="dxa" w:w="432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目标</w:t>
            </w:r>
          </w:p>
        </w:tc>
        <w:tc>
          <w:tcPr>
            <w:tcW w:type="dxa" w:w="381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验收指标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性能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常用列表与详情快速可用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列表 P95&lt;1s；写操作 P95&lt;1.5s；首屏&lt;2.5s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可用性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关键交易全年可用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资金审核 99.95%；其余 99.9%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容量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支持 10 万会员与百万级订单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游标分页、索引与冷热分层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并发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自动刷新与多运营并发安全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乐观锁、版本号、冲突提示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可观测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定位每次请求与资金变更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traceId、指标、日志、告警、审计关联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兼容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主流桌面浏览器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Chrome/Edge 最近两个稳定版；1366×768 可用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可访问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键盘与读屏可操作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焦点、标签、颜色对比、44px 点击区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灾备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配置与交易可恢复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RPO≤5 分钟，RTO≤30 分钟；季度演练</w:t>
            </w:r>
          </w:p>
        </w:tc>
      </w:tr>
    </w:tbl>
    <w:p/>
    <w:p>
      <w:pPr>
        <w:pStyle w:val="Heading2"/>
        <w:spacing w:before="140" w:after="120"/>
      </w:pPr>
      <w:r>
        <w:t>15.1 列表与弹窗通用验收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查询条件、分页、排序、刷新后可恢复；空数据、加载中、失败、无权限均有独立状态。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横向宽表固定关键列和操作列；敏感字段不因横向滚动或 tooltip 意外暴露。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弹窗关闭与取消不产生写操作；表单脏数据关闭前提示；成功后只刷新受影响区域。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重复点击、网络重试和浏览器回退不会重复创建、重复审核或重复入账。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所有时间显示时区，金额显示币种和精度，百分比与小数含义统一。</w:t>
      </w:r>
    </w:p>
    <w:p>
      <w:r>
        <w:br w:type="page"/>
      </w:r>
    </w:p>
    <w:p>
      <w:pPr>
        <w:pStyle w:val="Heading1"/>
        <w:spacing w:before="200" w:after="120"/>
      </w:pPr>
      <w:r>
        <w:t>16 端到端验收场景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10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849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场景与验收路径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A01 内容发布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运营新建公告→预览→提交审核→审批→定时发布→C 端显示相同版本→回滚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A02 会员查询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客服按掩码手机号查询→查看脱敏资料→申请查看完整值→审计留痕→超时隐藏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A03 任务闭环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配置任务→C 端领取→生成订单→提交→后台审核→佣金入账→台账核对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A04 充值审核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 端提交→后台待审核→重复回调→单次入账→通知→对账一致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A05 提现复核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 端申请→风控命中→财务初审→复核→通道付款→状态与到账金额一致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A06 禁用会员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客服发起→填写理由和时长→风控复核→会员受限→通知与申诉→解禁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A07 账变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运营申请奖励→财务复核→台账入账→重复提交被幂等拦截→审计可追溯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A08 权限变更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管理员申请新增提现审核权限→展示差异→复核→即时生效→历史会话重新鉴权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A09 配置错误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输入反向时间/非法比例→前后端阻止→错误定位到字段→不生成草稿版本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A10 服务降级</w:t>
            </w:r>
          </w:p>
        </w:tc>
        <w:tc>
          <w:tcPr>
            <w:tcW w:type="dxa" w:w="84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任务大厅 API 失败/客服 iframe 失败→清晰错误→重试/备用入口→告警产生</w:t>
            </w:r>
          </w:p>
        </w:tc>
      </w:tr>
    </w:tbl>
    <w:p/>
    <w:p>
      <w:pPr>
        <w:pStyle w:val="Heading2"/>
        <w:spacing w:before="140" w:after="120"/>
      </w:pPr>
      <w:r>
        <w:t>16.1 发布门槛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P0 风险全部关闭；资金、权限、隐私与上传通过专项安全测试。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C 端和后台使用同一配置版本、状态枚举、金额口径和错误码。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关键写操作完成幂等、并发、回滚、重试、超时与断网测试。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审计日志可以从一次用户投诉还原完整操作者、审批链和资金流水。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备份恢复、支付对账、权限复核和事故响应完成演练。</w:t>
      </w:r>
    </w:p>
    <w:p>
      <w:r>
        <w:br w:type="page"/>
      </w:r>
    </w:p>
    <w:p>
      <w:pPr>
        <w:pStyle w:val="Heading1"/>
        <w:spacing w:before="200" w:after="120"/>
      </w:pPr>
      <w:r>
        <w:t>17 研发里程碑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5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阶段</w:t>
            </w:r>
          </w:p>
        </w:tc>
        <w:tc>
          <w:tcPr>
            <w:tcW w:type="dxa" w:w="489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范围</w:t>
            </w:r>
          </w:p>
        </w:tc>
        <w:tc>
          <w:tcPr>
            <w:tcW w:type="dxa" w:w="32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退出条件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M0 设计基线</w:t>
            </w:r>
          </w:p>
        </w:tc>
        <w:tc>
          <w:tcPr>
            <w:tcW w:type="dxa" w:w="4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信息架构、组件、状态机、RBAC、字段字典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产品/设计/技术/安全评审通过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M1 基础后台</w:t>
            </w:r>
          </w:p>
        </w:tc>
        <w:tc>
          <w:tcPr>
            <w:tcW w:type="dxa" w:w="4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登录、管理员、角色、权限、审计、内容、Banner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MFA、审计、发布流可用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M2 会员与配置</w:t>
            </w:r>
          </w:p>
        </w:tc>
        <w:tc>
          <w:tcPr>
            <w:tcW w:type="dxa" w:w="4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会员、等级、团队、配置中心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脱敏、临时授权、版本发布完成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M3 商品与任务</w:t>
            </w:r>
          </w:p>
        </w:tc>
        <w:tc>
          <w:tcPr>
            <w:tcW w:type="dxa" w:w="4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商品、任务、任务大厅、审核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 端联调与佣金快照通过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M4 交易与资金</w:t>
            </w:r>
          </w:p>
        </w:tc>
        <w:tc>
          <w:tcPr>
            <w:tcW w:type="dxa" w:w="4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订单、充值、提现、对账、复核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支付沙箱、幂等、双人复核通过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M5 运营与稳定性</w:t>
            </w:r>
          </w:p>
        </w:tc>
        <w:tc>
          <w:tcPr>
            <w:tcW w:type="dxa" w:w="4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看板、客服、监控、灾备、性能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SLO、告警、恢复演练通过</w:t>
            </w:r>
          </w:p>
        </w:tc>
      </w:tr>
    </w:tbl>
    <w:p/>
    <w:p>
      <w:pPr>
        <w:pStyle w:val="Heading2"/>
        <w:spacing w:before="140" w:after="120"/>
      </w:pPr>
      <w:r>
        <w:t>17.1 建议开发顺序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先建设统一认证、RBAC、审计、脱敏和配置发布，再开发具体业务页。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会员、商品、任务可先使用模拟资金；充值和提现必须最后接真实通道。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资金域上线前实行沙箱、小流量、额度限制和人工对账。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上线后第一周每日权限复核、账务核对和错误率复盘。</w:t>
      </w:r>
    </w:p>
    <w:p>
      <w:r>
        <w:br w:type="page"/>
      </w:r>
    </w:p>
    <w:p>
      <w:pPr>
        <w:pStyle w:val="Heading1"/>
        <w:spacing w:before="200" w:after="120"/>
      </w:pPr>
      <w:r>
        <w:t>18 原型图说明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文档中的界面图按实测后台的布局、菜单、表格、弹窗和业务字段脱敏重绘，可直接用于讨论信息层级和交互。它们不是视觉稿：品牌、颜色、图标和真实数据应在 UI 设计阶段重新建立。</w:t>
      </w:r>
    </w:p>
    <w:p>
      <w:pPr>
        <w:pStyle w:val="Heading2"/>
        <w:spacing w:before="140" w:after="120"/>
      </w:pPr>
      <w:r>
        <w:t>18.1 首页看板（脱敏重绘）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323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1_dashboar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before="140" w:after="120"/>
      </w:pPr>
      <w:r>
        <w:t>18.2 会员列表（脱敏重绘）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323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2_member_lis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before="140" w:after="120"/>
      </w:pPr>
      <w:r>
        <w:t>18.3 会员弹窗（脱敏重绘）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323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3_member_mod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before="140" w:after="120"/>
      </w:pPr>
      <w:r>
        <w:t>18.4 提现审核（脱敏重绘）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323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4_withdrawa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before="140" w:after="120"/>
      </w:pPr>
      <w:r>
        <w:t>18.5 角色权限（脱敏重绘）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323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5_rba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before="140" w:after="120"/>
      </w:pPr>
      <w:r>
        <w:t>18.6 业务闭环（脱敏重绘）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323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6_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spacing w:before="200" w:after="120"/>
      </w:pPr>
      <w:r>
        <w:t>19 待确认事项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目标系统是否处理真实资金，适用司法辖区、支付牌照与实名要求是什么。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“设为假人、弹幕、奖励金、层级返佣”是否保留；若保留，业务合法性和真实性如何证明。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充值、提现、账变和会员禁用的初审/复核角色与金额阈值。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C 端现有接口能否修改，还是需要后台兼容旧字段和状态枚举。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客服使用自建工单还是第三方服务，允许向第三方传输哪些数据。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运营内容是否需要多语言、定时发布、区域差异与灰度发布。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历史用户、订单、银行卡和台账的迁移范围、清洗规则和保留年限。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生产环境数据导出、敏感值查看和紧急权限的审批人。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在上述事项确认前，可以完成认证、RBAC、审计、内容、会员脱敏查询、商品任务配置和沙箱交易；不得接入真实收款、放款或自动资金调整。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22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Heiti SC" w:hAnsi="Heiti SC" w:eastAsia="Heiti SC"/>
        <w:color w:val="667085"/>
        <w:sz w:val="17"/>
      </w:rPr>
      <w:t>后台管理系统需求文档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iti SC" w:hAnsi="Heiti SC" w:eastAsia="Heiti SC"/>
      <w:color w:val="1820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3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Heiti SC" w:hAnsi="Heiti SC" w:eastAsia="Heiti SC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后台管理系统需求文档</dc:title>
  <dc:subject>参考管理系统拆解、C 端映射与安全重构方案</dc:subject>
  <dc:creator>Product Requirement Analysis</dc:creator>
  <cp:keywords>后台, 需求文档, 会员, 交易, RBAC, 审计, 原型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